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EB38" w14:textId="77777777" w:rsidR="008A251E" w:rsidRPr="002C0E47" w:rsidRDefault="0093095F" w:rsidP="00797C92">
      <w:pPr>
        <w:spacing w:before="480" w:after="480" w:line="264" w:lineRule="auto"/>
        <w:jc w:val="center"/>
        <w:rPr>
          <w:rFonts w:ascii="Century Gothic" w:hAnsi="Century Gothic" w:cs="Arial"/>
          <w:caps/>
          <w:color w:val="2B3A57"/>
          <w:sz w:val="48"/>
        </w:rPr>
      </w:pPr>
      <w:r w:rsidRPr="002C0E47">
        <w:rPr>
          <w:rFonts w:ascii="Century Gothic" w:hAnsi="Century Gothic" w:cs="Arial"/>
          <w:caps/>
          <w:color w:val="2B3A57"/>
          <w:sz w:val="48"/>
        </w:rPr>
        <w:t>Project Review Report</w:t>
      </w:r>
    </w:p>
    <w:tbl>
      <w:tblPr>
        <w:tblW w:w="9360" w:type="dxa"/>
        <w:tblInd w:w="108" w:type="dxa"/>
        <w:tblLayout w:type="fixed"/>
        <w:tblLook w:val="0000" w:firstRow="0" w:lastRow="0" w:firstColumn="0" w:lastColumn="0" w:noHBand="0" w:noVBand="0"/>
      </w:tblPr>
      <w:tblGrid>
        <w:gridCol w:w="2520"/>
        <w:gridCol w:w="6840"/>
      </w:tblGrid>
      <w:tr w:rsidR="002109A4" w:rsidRPr="008B0FD4" w14:paraId="452DEB3B" w14:textId="77777777" w:rsidTr="00620C29">
        <w:trPr>
          <w:trHeight w:val="552"/>
        </w:trPr>
        <w:tc>
          <w:tcPr>
            <w:tcW w:w="2520" w:type="dxa"/>
            <w:tcBorders>
              <w:bottom w:val="single" w:sz="4" w:space="0" w:color="FFFFFF" w:themeColor="background1"/>
            </w:tcBorders>
            <w:shd w:val="clear" w:color="auto" w:fill="2B3A57"/>
            <w:vAlign w:val="center"/>
          </w:tcPr>
          <w:p w14:paraId="452DEB39" w14:textId="77777777" w:rsidR="002109A4" w:rsidRPr="00A75443" w:rsidRDefault="002109A4" w:rsidP="00EE0B4F">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ID</w:t>
            </w:r>
          </w:p>
        </w:tc>
        <w:tc>
          <w:tcPr>
            <w:tcW w:w="6840" w:type="dxa"/>
            <w:tcBorders>
              <w:bottom w:val="single" w:sz="4" w:space="0" w:color="FFFFFF" w:themeColor="background1"/>
            </w:tcBorders>
            <w:shd w:val="clear" w:color="auto" w:fill="F2F2F2"/>
            <w:vAlign w:val="center"/>
          </w:tcPr>
          <w:p w14:paraId="452DEB3A" w14:textId="77777777" w:rsidR="00EA694B" w:rsidRPr="00A75443" w:rsidRDefault="00944472" w:rsidP="00EE0B4F">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1842</w:t>
            </w:r>
          </w:p>
        </w:tc>
      </w:tr>
      <w:tr w:rsidR="00F849C3" w:rsidRPr="008B0FD4" w14:paraId="452DEB3E"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452DEB3C" w14:textId="77777777" w:rsidR="00F849C3" w:rsidRPr="00A75443" w:rsidRDefault="002109A4" w:rsidP="00EE0B4F">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Name</w:t>
            </w:r>
          </w:p>
        </w:tc>
        <w:tc>
          <w:tcPr>
            <w:tcW w:w="6840" w:type="dxa"/>
            <w:tcBorders>
              <w:top w:val="single" w:sz="4" w:space="0" w:color="FFFFFF" w:themeColor="background1"/>
              <w:bottom w:val="single" w:sz="4" w:space="0" w:color="FFFFFF" w:themeColor="background1"/>
            </w:tcBorders>
            <w:shd w:val="clear" w:color="auto" w:fill="F2F2F2"/>
            <w:vAlign w:val="center"/>
          </w:tcPr>
          <w:p w14:paraId="452DEB3D" w14:textId="77777777" w:rsidR="00F849C3" w:rsidRPr="00A75443" w:rsidRDefault="005646B4" w:rsidP="00EE0B4F">
            <w:pPr>
              <w:pStyle w:val="Header"/>
              <w:spacing w:before="60" w:after="60"/>
              <w:rPr>
                <w:rFonts w:ascii="Franklin Gothic Book" w:hAnsi="Franklin Gothic Book" w:cs="Arial"/>
                <w:i/>
                <w:color w:val="404040"/>
                <w:sz w:val="19"/>
                <w:szCs w:val="19"/>
                <w:lang w:val="en-CA"/>
              </w:rPr>
            </w:pPr>
            <w:r w:rsidRPr="005646B4">
              <w:rPr>
                <w:rFonts w:ascii="Franklin Gothic Book" w:hAnsi="Franklin Gothic Book" w:cs="Arial"/>
                <w:i/>
                <w:color w:val="404040"/>
                <w:sz w:val="19"/>
                <w:szCs w:val="19"/>
                <w:lang w:val="en-CA"/>
              </w:rPr>
              <w:t xml:space="preserve">100 MW Solar Project in </w:t>
            </w:r>
            <w:proofErr w:type="spellStart"/>
            <w:r w:rsidRPr="005646B4">
              <w:rPr>
                <w:rFonts w:ascii="Franklin Gothic Book" w:hAnsi="Franklin Gothic Book" w:cs="Arial"/>
                <w:i/>
                <w:color w:val="404040"/>
                <w:sz w:val="19"/>
                <w:szCs w:val="19"/>
                <w:lang w:val="en-CA"/>
              </w:rPr>
              <w:t>Bhadla</w:t>
            </w:r>
            <w:proofErr w:type="spellEnd"/>
            <w:r w:rsidRPr="005646B4">
              <w:rPr>
                <w:rFonts w:ascii="Franklin Gothic Book" w:hAnsi="Franklin Gothic Book" w:cs="Arial"/>
                <w:i/>
                <w:color w:val="404040"/>
                <w:sz w:val="19"/>
                <w:szCs w:val="19"/>
                <w:lang w:val="en-CA"/>
              </w:rPr>
              <w:t xml:space="preserve"> in Rajasthan</w:t>
            </w:r>
          </w:p>
        </w:tc>
      </w:tr>
      <w:tr w:rsidR="00286ADB" w:rsidRPr="008B0FD4" w14:paraId="452DEB41"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452DEB3F" w14:textId="77777777" w:rsidR="00286ADB" w:rsidRPr="00A75443" w:rsidRDefault="00286ADB" w:rsidP="00EE0B4F">
            <w:pPr>
              <w:pStyle w:val="Header"/>
              <w:spacing w:before="60" w:after="60"/>
              <w:jc w:val="right"/>
              <w:rPr>
                <w:rFonts w:ascii="Franklin Gothic Book" w:hAnsi="Franklin Gothic Book" w:cs="Arial"/>
                <w:b/>
                <w:color w:val="FFFFFF"/>
                <w:sz w:val="20"/>
                <w:szCs w:val="20"/>
                <w:lang w:val="en-CA"/>
              </w:rPr>
            </w:pPr>
            <w:r>
              <w:rPr>
                <w:rFonts w:ascii="Franklin Gothic Book" w:hAnsi="Franklin Gothic Book" w:cs="Arial"/>
                <w:b/>
                <w:color w:val="FFFFFF"/>
                <w:sz w:val="20"/>
                <w:szCs w:val="20"/>
                <w:lang w:val="en-CA"/>
              </w:rPr>
              <w:t>Program</w:t>
            </w:r>
            <w:r w:rsidR="00BF49A4">
              <w:rPr>
                <w:rFonts w:ascii="Franklin Gothic Book" w:hAnsi="Franklin Gothic Book" w:cs="Arial"/>
                <w:b/>
                <w:color w:val="FFFFFF"/>
                <w:sz w:val="20"/>
                <w:szCs w:val="20"/>
                <w:lang w:val="en-CA"/>
              </w:rPr>
              <w:t>(s)</w:t>
            </w:r>
          </w:p>
        </w:tc>
        <w:tc>
          <w:tcPr>
            <w:tcW w:w="6840" w:type="dxa"/>
            <w:tcBorders>
              <w:top w:val="single" w:sz="4" w:space="0" w:color="FFFFFF" w:themeColor="background1"/>
              <w:bottom w:val="single" w:sz="4" w:space="0" w:color="FFFFFF" w:themeColor="background1"/>
            </w:tcBorders>
            <w:shd w:val="clear" w:color="auto" w:fill="F2F2F2"/>
            <w:vAlign w:val="center"/>
          </w:tcPr>
          <w:p w14:paraId="452DEB40" w14:textId="77777777" w:rsidR="00286ADB" w:rsidRPr="00A75443" w:rsidRDefault="005646B4" w:rsidP="00EE0B4F">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VCS</w:t>
            </w:r>
          </w:p>
        </w:tc>
      </w:tr>
      <w:tr w:rsidR="00F408A8" w:rsidRPr="008B0FD4" w14:paraId="452DEB44"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452DEB42" w14:textId="77777777" w:rsidR="00F408A8" w:rsidRPr="00A75443" w:rsidRDefault="00F408A8" w:rsidP="00EE0B4F">
            <w:pPr>
              <w:pStyle w:val="Header"/>
              <w:spacing w:before="60" w:after="60"/>
              <w:jc w:val="right"/>
              <w:rPr>
                <w:rFonts w:ascii="Franklin Gothic Book" w:hAnsi="Franklin Gothic Book" w:cs="Arial"/>
                <w:b/>
                <w:color w:val="FFFFFF"/>
                <w:sz w:val="20"/>
                <w:szCs w:val="20"/>
                <w:lang w:val="en-CA"/>
              </w:rPr>
            </w:pPr>
            <w:r>
              <w:rPr>
                <w:rFonts w:ascii="Franklin Gothic Book" w:hAnsi="Franklin Gothic Book" w:cs="Arial"/>
                <w:b/>
                <w:color w:val="FFFFFF"/>
                <w:sz w:val="20"/>
                <w:szCs w:val="20"/>
                <w:lang w:val="en-CA"/>
              </w:rPr>
              <w:t>Verification Period</w:t>
            </w:r>
          </w:p>
        </w:tc>
        <w:tc>
          <w:tcPr>
            <w:tcW w:w="6840" w:type="dxa"/>
            <w:tcBorders>
              <w:top w:val="single" w:sz="4" w:space="0" w:color="FFFFFF" w:themeColor="background1"/>
              <w:bottom w:val="single" w:sz="4" w:space="0" w:color="FFFFFF" w:themeColor="background1"/>
            </w:tcBorders>
            <w:shd w:val="clear" w:color="auto" w:fill="F2F2F2"/>
            <w:vAlign w:val="center"/>
          </w:tcPr>
          <w:p w14:paraId="452DEB43" w14:textId="77777777" w:rsidR="00F408A8" w:rsidRPr="00A75443" w:rsidRDefault="005646B4" w:rsidP="00EE0B4F">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01October 2022</w:t>
            </w:r>
            <w:r w:rsidR="00F408A8">
              <w:rPr>
                <w:rFonts w:ascii="Franklin Gothic Book" w:hAnsi="Franklin Gothic Book" w:cs="Arial"/>
                <w:i/>
                <w:color w:val="404040"/>
                <w:sz w:val="19"/>
                <w:szCs w:val="19"/>
                <w:lang w:val="en-CA"/>
              </w:rPr>
              <w:t xml:space="preserve"> – </w:t>
            </w:r>
            <w:r w:rsidR="001C71BA">
              <w:rPr>
                <w:rFonts w:ascii="Franklin Gothic Book" w:hAnsi="Franklin Gothic Book" w:cs="Arial"/>
                <w:i/>
                <w:color w:val="404040"/>
                <w:sz w:val="19"/>
                <w:szCs w:val="19"/>
                <w:lang w:val="en-CA"/>
              </w:rPr>
              <w:t>31August</w:t>
            </w:r>
            <w:r w:rsidR="00F408A8">
              <w:rPr>
                <w:rFonts w:ascii="Franklin Gothic Book" w:hAnsi="Franklin Gothic Book" w:cs="Arial"/>
                <w:i/>
                <w:color w:val="404040"/>
                <w:sz w:val="19"/>
                <w:szCs w:val="19"/>
                <w:lang w:val="en-CA"/>
              </w:rPr>
              <w:t xml:space="preserve"> 20</w:t>
            </w:r>
            <w:r w:rsidR="001C71BA">
              <w:rPr>
                <w:rFonts w:ascii="Franklin Gothic Book" w:hAnsi="Franklin Gothic Book" w:cs="Arial"/>
                <w:i/>
                <w:color w:val="404040"/>
                <w:sz w:val="19"/>
                <w:szCs w:val="19"/>
                <w:lang w:val="en-CA"/>
              </w:rPr>
              <w:t>22</w:t>
            </w:r>
          </w:p>
        </w:tc>
      </w:tr>
      <w:tr w:rsidR="00FD3AF7" w:rsidRPr="001325E5" w14:paraId="452DEB47" w14:textId="77777777" w:rsidTr="00620C29">
        <w:trPr>
          <w:trHeight w:val="498"/>
        </w:trPr>
        <w:tc>
          <w:tcPr>
            <w:tcW w:w="2520" w:type="dxa"/>
            <w:tcBorders>
              <w:top w:val="single" w:sz="4" w:space="0" w:color="FFFFFF" w:themeColor="background1"/>
              <w:bottom w:val="single" w:sz="4" w:space="0" w:color="FFFFFF" w:themeColor="background1"/>
            </w:tcBorders>
            <w:shd w:val="clear" w:color="auto" w:fill="2B3A57"/>
            <w:vAlign w:val="center"/>
          </w:tcPr>
          <w:p w14:paraId="452DEB45"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Proponent</w:t>
            </w:r>
          </w:p>
        </w:tc>
        <w:tc>
          <w:tcPr>
            <w:tcW w:w="6840" w:type="dxa"/>
            <w:tcBorders>
              <w:top w:val="single" w:sz="4" w:space="0" w:color="FFFFFF" w:themeColor="background1"/>
              <w:bottom w:val="single" w:sz="4" w:space="0" w:color="FFFFFF" w:themeColor="background1"/>
            </w:tcBorders>
            <w:shd w:val="clear" w:color="auto" w:fill="F2F2F2"/>
            <w:vAlign w:val="center"/>
          </w:tcPr>
          <w:p w14:paraId="452DEB46" w14:textId="77777777" w:rsidR="00FD3AF7" w:rsidRPr="00A75443" w:rsidRDefault="00CC645B" w:rsidP="00FD3AF7">
            <w:pPr>
              <w:pStyle w:val="Header"/>
              <w:spacing w:before="60" w:after="60"/>
              <w:rPr>
                <w:rFonts w:ascii="Franklin Gothic Book" w:hAnsi="Franklin Gothic Book" w:cs="Arial"/>
                <w:i/>
                <w:color w:val="404040"/>
                <w:sz w:val="19"/>
                <w:szCs w:val="19"/>
                <w:lang w:val="de-DE"/>
              </w:rPr>
            </w:pPr>
            <w:r w:rsidRPr="00CC645B">
              <w:rPr>
                <w:rFonts w:ascii="Franklin Gothic Book" w:hAnsi="Franklin Gothic Book" w:cs="Arial"/>
                <w:i/>
                <w:color w:val="404040"/>
                <w:sz w:val="19"/>
                <w:szCs w:val="19"/>
                <w:lang w:val="en-CA"/>
              </w:rPr>
              <w:t>Clean Sustainable Energy Pvt. Ltd</w:t>
            </w:r>
          </w:p>
        </w:tc>
      </w:tr>
      <w:tr w:rsidR="00FD3AF7" w:rsidRPr="008B0FD4" w14:paraId="452DEB4A" w14:textId="77777777" w:rsidTr="00620C29">
        <w:trPr>
          <w:trHeight w:val="516"/>
        </w:trPr>
        <w:tc>
          <w:tcPr>
            <w:tcW w:w="2520" w:type="dxa"/>
            <w:tcBorders>
              <w:top w:val="single" w:sz="4" w:space="0" w:color="FFFFFF" w:themeColor="background1"/>
              <w:bottom w:val="single" w:sz="4" w:space="0" w:color="FFFFFF" w:themeColor="background1"/>
            </w:tcBorders>
            <w:shd w:val="clear" w:color="auto" w:fill="2B3A57"/>
            <w:vAlign w:val="center"/>
          </w:tcPr>
          <w:p w14:paraId="452DEB48"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 xml:space="preserve">Methodology </w:t>
            </w:r>
          </w:p>
        </w:tc>
        <w:tc>
          <w:tcPr>
            <w:tcW w:w="6840" w:type="dxa"/>
            <w:tcBorders>
              <w:top w:val="single" w:sz="4" w:space="0" w:color="FFFFFF" w:themeColor="background1"/>
              <w:bottom w:val="single" w:sz="4" w:space="0" w:color="FFFFFF" w:themeColor="background1"/>
            </w:tcBorders>
            <w:shd w:val="clear" w:color="auto" w:fill="F2F2F2"/>
            <w:vAlign w:val="center"/>
          </w:tcPr>
          <w:p w14:paraId="452DEB49" w14:textId="77777777" w:rsidR="00FD3AF7" w:rsidRPr="00A75443" w:rsidRDefault="00A538B8" w:rsidP="00A538B8">
            <w:pPr>
              <w:pStyle w:val="Header"/>
              <w:spacing w:before="60" w:after="60"/>
              <w:rPr>
                <w:rFonts w:ascii="Franklin Gothic Book" w:hAnsi="Franklin Gothic Book" w:cs="Arial"/>
                <w:i/>
                <w:color w:val="404040"/>
                <w:sz w:val="19"/>
                <w:szCs w:val="19"/>
                <w:lang w:val="en-CA"/>
              </w:rPr>
            </w:pPr>
            <w:r w:rsidRPr="00A538B8">
              <w:rPr>
                <w:rFonts w:ascii="Franklin Gothic Book" w:hAnsi="Franklin Gothic Book" w:cs="Arial"/>
                <w:i/>
                <w:color w:val="404040"/>
                <w:sz w:val="19"/>
                <w:szCs w:val="19"/>
                <w:lang w:val="en-CA"/>
              </w:rPr>
              <w:t>ACM0002</w:t>
            </w:r>
            <w:r>
              <w:rPr>
                <w:rFonts w:ascii="Franklin Gothic Book" w:hAnsi="Franklin Gothic Book" w:cs="Arial"/>
                <w:i/>
                <w:color w:val="404040"/>
                <w:sz w:val="19"/>
                <w:szCs w:val="19"/>
                <w:lang w:val="en-CA"/>
              </w:rPr>
              <w:t>,</w:t>
            </w:r>
            <w:r w:rsidRPr="00A538B8">
              <w:rPr>
                <w:rFonts w:ascii="Franklin Gothic Book" w:hAnsi="Franklin Gothic Book" w:cs="Arial"/>
                <w:i/>
                <w:color w:val="404040"/>
                <w:sz w:val="19"/>
                <w:szCs w:val="19"/>
                <w:lang w:val="en-CA"/>
              </w:rPr>
              <w:t xml:space="preserve"> Grid-connected electricity generation </w:t>
            </w:r>
            <w:proofErr w:type="spellStart"/>
            <w:r w:rsidRPr="00A538B8">
              <w:rPr>
                <w:rFonts w:ascii="Franklin Gothic Book" w:hAnsi="Franklin Gothic Book" w:cs="Arial"/>
                <w:i/>
                <w:color w:val="404040"/>
                <w:sz w:val="19"/>
                <w:szCs w:val="19"/>
                <w:lang w:val="en-CA"/>
              </w:rPr>
              <w:t>fromrenewable</w:t>
            </w:r>
            <w:proofErr w:type="spellEnd"/>
            <w:r w:rsidRPr="00A538B8">
              <w:rPr>
                <w:rFonts w:ascii="Franklin Gothic Book" w:hAnsi="Franklin Gothic Book" w:cs="Arial"/>
                <w:i/>
                <w:color w:val="404040"/>
                <w:sz w:val="19"/>
                <w:szCs w:val="19"/>
                <w:lang w:val="en-CA"/>
              </w:rPr>
              <w:t xml:space="preserve"> sources</w:t>
            </w:r>
            <w:r>
              <w:rPr>
                <w:rFonts w:ascii="Franklin Gothic Book" w:hAnsi="Franklin Gothic Book" w:cs="Arial"/>
                <w:i/>
                <w:color w:val="404040"/>
                <w:sz w:val="19"/>
                <w:szCs w:val="19"/>
                <w:lang w:val="en-CA"/>
              </w:rPr>
              <w:t>,</w:t>
            </w:r>
            <w:r w:rsidR="005419F4">
              <w:rPr>
                <w:rFonts w:ascii="Franklin Gothic Book" w:hAnsi="Franklin Gothic Book" w:cs="Arial"/>
                <w:i/>
                <w:color w:val="404040"/>
                <w:sz w:val="19"/>
                <w:szCs w:val="19"/>
                <w:lang w:val="en-CA"/>
              </w:rPr>
              <w:t xml:space="preserve"> v</w:t>
            </w:r>
            <w:r w:rsidR="005D6E50">
              <w:rPr>
                <w:rFonts w:ascii="Franklin Gothic Book" w:hAnsi="Franklin Gothic Book" w:cs="Arial"/>
                <w:i/>
                <w:color w:val="404040"/>
                <w:sz w:val="19"/>
                <w:szCs w:val="19"/>
                <w:lang w:val="en-CA"/>
              </w:rPr>
              <w:t>19</w:t>
            </w:r>
          </w:p>
        </w:tc>
      </w:tr>
      <w:tr w:rsidR="00FD3AF7" w:rsidRPr="005D6E50" w14:paraId="452DEB4D" w14:textId="77777777" w:rsidTr="00620C29">
        <w:trPr>
          <w:trHeight w:val="543"/>
        </w:trPr>
        <w:tc>
          <w:tcPr>
            <w:tcW w:w="2520" w:type="dxa"/>
            <w:tcBorders>
              <w:top w:val="single" w:sz="4" w:space="0" w:color="FFFFFF" w:themeColor="background1"/>
              <w:bottom w:val="single" w:sz="4" w:space="0" w:color="FFFFFF" w:themeColor="background1"/>
            </w:tcBorders>
            <w:shd w:val="clear" w:color="auto" w:fill="2B3A57"/>
            <w:vAlign w:val="center"/>
          </w:tcPr>
          <w:p w14:paraId="452DEB4B"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Sectoral Scope(s)</w:t>
            </w:r>
          </w:p>
        </w:tc>
        <w:tc>
          <w:tcPr>
            <w:tcW w:w="6840" w:type="dxa"/>
            <w:tcBorders>
              <w:top w:val="single" w:sz="4" w:space="0" w:color="FFFFFF" w:themeColor="background1"/>
              <w:bottom w:val="single" w:sz="4" w:space="0" w:color="FFFFFF" w:themeColor="background1"/>
            </w:tcBorders>
            <w:shd w:val="clear" w:color="auto" w:fill="F2F2F2"/>
            <w:vAlign w:val="center"/>
          </w:tcPr>
          <w:p w14:paraId="452DEB4C" w14:textId="77777777" w:rsidR="00FD3AF7" w:rsidRPr="006D7922" w:rsidRDefault="006D7922" w:rsidP="00FD3AF7">
            <w:pPr>
              <w:pStyle w:val="Header"/>
              <w:spacing w:before="60" w:after="60"/>
              <w:rPr>
                <w:rFonts w:ascii="Franklin Gothic Book" w:hAnsi="Franklin Gothic Book" w:cs="Arial"/>
                <w:i/>
                <w:color w:val="404040"/>
                <w:sz w:val="19"/>
                <w:szCs w:val="19"/>
                <w:lang w:val="fr-FR"/>
              </w:rPr>
            </w:pPr>
            <w:r w:rsidRPr="006D7922">
              <w:rPr>
                <w:rFonts w:ascii="Franklin Gothic Book" w:hAnsi="Franklin Gothic Book" w:cs="Arial"/>
                <w:i/>
                <w:color w:val="404040"/>
                <w:sz w:val="19"/>
                <w:szCs w:val="19"/>
                <w:lang w:val="fr-FR"/>
              </w:rPr>
              <w:t xml:space="preserve">Energy </w:t>
            </w:r>
            <w:r w:rsidRPr="005D6E50">
              <w:rPr>
                <w:rFonts w:ascii="Franklin Gothic Book" w:hAnsi="Franklin Gothic Book" w:cs="Arial"/>
                <w:i/>
                <w:color w:val="404040"/>
                <w:sz w:val="19"/>
                <w:szCs w:val="19"/>
                <w:lang w:val="fr-FR"/>
              </w:rPr>
              <w:t>Industries (</w:t>
            </w:r>
            <w:proofErr w:type="spellStart"/>
            <w:r w:rsidRPr="005D6E50">
              <w:rPr>
                <w:rFonts w:ascii="Franklin Gothic Book" w:hAnsi="Franklin Gothic Book" w:cs="Arial"/>
                <w:i/>
                <w:color w:val="404040"/>
                <w:sz w:val="19"/>
                <w:szCs w:val="19"/>
                <w:lang w:val="fr-FR"/>
              </w:rPr>
              <w:t>renewable</w:t>
            </w:r>
            <w:proofErr w:type="spellEnd"/>
            <w:r w:rsidRPr="005D6E50">
              <w:rPr>
                <w:rFonts w:ascii="Franklin Gothic Book" w:hAnsi="Franklin Gothic Book" w:cs="Arial"/>
                <w:i/>
                <w:color w:val="404040"/>
                <w:sz w:val="19"/>
                <w:szCs w:val="19"/>
                <w:lang w:val="fr-FR"/>
              </w:rPr>
              <w:t>/non-</w:t>
            </w:r>
            <w:proofErr w:type="spellStart"/>
            <w:r w:rsidRPr="005D6E50">
              <w:rPr>
                <w:rFonts w:ascii="Franklin Gothic Book" w:hAnsi="Franklin Gothic Book" w:cs="Arial"/>
                <w:i/>
                <w:color w:val="404040"/>
                <w:sz w:val="19"/>
                <w:szCs w:val="19"/>
                <w:lang w:val="fr-FR"/>
              </w:rPr>
              <w:t>renewable</w:t>
            </w:r>
            <w:proofErr w:type="spellEnd"/>
            <w:r w:rsidRPr="005D6E50">
              <w:rPr>
                <w:rFonts w:ascii="Franklin Gothic Book" w:hAnsi="Franklin Gothic Book" w:cs="Arial"/>
                <w:i/>
                <w:color w:val="404040"/>
                <w:sz w:val="19"/>
                <w:szCs w:val="19"/>
                <w:lang w:val="fr-FR"/>
              </w:rPr>
              <w:t xml:space="preserve"> source)</w:t>
            </w:r>
          </w:p>
        </w:tc>
      </w:tr>
      <w:tr w:rsidR="00FD3AF7" w:rsidRPr="005D6E50" w14:paraId="452DEB50" w14:textId="77777777" w:rsidTr="00620C29">
        <w:trPr>
          <w:trHeight w:val="426"/>
        </w:trPr>
        <w:tc>
          <w:tcPr>
            <w:tcW w:w="2520" w:type="dxa"/>
            <w:tcBorders>
              <w:top w:val="single" w:sz="4" w:space="0" w:color="FFFFFF" w:themeColor="background1"/>
            </w:tcBorders>
            <w:shd w:val="clear" w:color="auto" w:fill="2B3A57"/>
            <w:vAlign w:val="center"/>
          </w:tcPr>
          <w:p w14:paraId="452DEB4E"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Validation/Verification Body (VVB)</w:t>
            </w:r>
          </w:p>
        </w:tc>
        <w:tc>
          <w:tcPr>
            <w:tcW w:w="6840" w:type="dxa"/>
            <w:tcBorders>
              <w:top w:val="single" w:sz="4" w:space="0" w:color="FFFFFF" w:themeColor="background1"/>
            </w:tcBorders>
            <w:shd w:val="clear" w:color="auto" w:fill="F2F2F2"/>
            <w:vAlign w:val="center"/>
          </w:tcPr>
          <w:p w14:paraId="452DEB4F" w14:textId="77777777" w:rsidR="00FD3AF7" w:rsidRPr="00AC3707" w:rsidRDefault="00AC3707" w:rsidP="00FD3AF7">
            <w:pPr>
              <w:pStyle w:val="Header"/>
              <w:spacing w:before="60" w:after="60"/>
              <w:rPr>
                <w:rFonts w:ascii="Franklin Gothic Book" w:hAnsi="Franklin Gothic Book" w:cs="Arial"/>
                <w:i/>
                <w:color w:val="404040"/>
                <w:sz w:val="19"/>
                <w:szCs w:val="19"/>
                <w:lang w:val="fr-FR"/>
              </w:rPr>
            </w:pPr>
            <w:r w:rsidRPr="00AC3707">
              <w:rPr>
                <w:rFonts w:ascii="Franklin Gothic Book" w:hAnsi="Franklin Gothic Book" w:cs="Arial"/>
                <w:i/>
                <w:color w:val="404040"/>
                <w:sz w:val="19"/>
                <w:szCs w:val="19"/>
                <w:lang w:val="fr-FR"/>
              </w:rPr>
              <w:t xml:space="preserve">LGAI </w:t>
            </w:r>
            <w:proofErr w:type="spellStart"/>
            <w:r w:rsidRPr="00AC3707">
              <w:rPr>
                <w:rFonts w:ascii="Franklin Gothic Book" w:hAnsi="Franklin Gothic Book" w:cs="Arial"/>
                <w:i/>
                <w:color w:val="404040"/>
                <w:sz w:val="19"/>
                <w:szCs w:val="19"/>
                <w:lang w:val="fr-FR"/>
              </w:rPr>
              <w:t>Technological</w:t>
            </w:r>
            <w:proofErr w:type="spellEnd"/>
            <w:r w:rsidRPr="00AC3707">
              <w:rPr>
                <w:rFonts w:ascii="Franklin Gothic Book" w:hAnsi="Franklin Gothic Book" w:cs="Arial"/>
                <w:i/>
                <w:color w:val="404040"/>
                <w:sz w:val="19"/>
                <w:szCs w:val="19"/>
                <w:lang w:val="fr-FR"/>
              </w:rPr>
              <w:t xml:space="preserve"> Center, S.A. (</w:t>
            </w:r>
            <w:proofErr w:type="spellStart"/>
            <w:r w:rsidRPr="00AC3707">
              <w:rPr>
                <w:rFonts w:ascii="Franklin Gothic Book" w:hAnsi="Franklin Gothic Book" w:cs="Arial"/>
                <w:i/>
                <w:color w:val="404040"/>
                <w:sz w:val="19"/>
                <w:szCs w:val="19"/>
                <w:lang w:val="fr-FR"/>
              </w:rPr>
              <w:t>Applus</w:t>
            </w:r>
            <w:proofErr w:type="spellEnd"/>
            <w:r w:rsidRPr="00AC3707">
              <w:rPr>
                <w:rFonts w:ascii="Franklin Gothic Book" w:hAnsi="Franklin Gothic Book" w:cs="Arial"/>
                <w:i/>
                <w:color w:val="404040"/>
                <w:sz w:val="19"/>
                <w:szCs w:val="19"/>
                <w:lang w:val="fr-FR"/>
              </w:rPr>
              <w:t>+ Certification)</w:t>
            </w:r>
          </w:p>
        </w:tc>
      </w:tr>
    </w:tbl>
    <w:p w14:paraId="452DEB51" w14:textId="77777777" w:rsidR="00F849C3" w:rsidRPr="00AC3707" w:rsidRDefault="00F849C3" w:rsidP="007C42DA">
      <w:pPr>
        <w:spacing w:after="0"/>
        <w:ind w:left="360"/>
        <w:jc w:val="center"/>
        <w:rPr>
          <w:sz w:val="22"/>
          <w:szCs w:val="22"/>
          <w:lang w:val="fr-FR"/>
        </w:rPr>
      </w:pPr>
    </w:p>
    <w:tbl>
      <w:tblPr>
        <w:tblW w:w="9360" w:type="dxa"/>
        <w:tblInd w:w="108" w:type="dxa"/>
        <w:tblLook w:val="0000" w:firstRow="0" w:lastRow="0" w:firstColumn="0" w:lastColumn="0" w:noHBand="0" w:noVBand="0"/>
      </w:tblPr>
      <w:tblGrid>
        <w:gridCol w:w="2547"/>
        <w:gridCol w:w="6813"/>
      </w:tblGrid>
      <w:tr w:rsidR="00F849C3" w:rsidRPr="008B0FD4" w14:paraId="452DEB54" w14:textId="77777777" w:rsidTr="00620C29">
        <w:trPr>
          <w:trHeight w:val="390"/>
        </w:trPr>
        <w:tc>
          <w:tcPr>
            <w:tcW w:w="2547" w:type="dxa"/>
            <w:tcBorders>
              <w:bottom w:val="single" w:sz="4" w:space="0" w:color="FFFFFF" w:themeColor="background1"/>
            </w:tcBorders>
            <w:shd w:val="clear" w:color="auto" w:fill="2B3A57"/>
            <w:vAlign w:val="center"/>
          </w:tcPr>
          <w:p w14:paraId="452DEB52" w14:textId="77777777" w:rsidR="00F849C3" w:rsidRPr="002C0E47" w:rsidRDefault="00FD3AF7"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Assessment Criteria</w:t>
            </w:r>
          </w:p>
        </w:tc>
        <w:tc>
          <w:tcPr>
            <w:tcW w:w="6813" w:type="dxa"/>
            <w:tcBorders>
              <w:bottom w:val="single" w:sz="4" w:space="0" w:color="FFFFFF" w:themeColor="background1"/>
            </w:tcBorders>
            <w:shd w:val="clear" w:color="auto" w:fill="F2F2F2"/>
            <w:vAlign w:val="center"/>
          </w:tcPr>
          <w:p w14:paraId="452DEB53" w14:textId="77777777" w:rsidR="00735F31" w:rsidRPr="00062D94" w:rsidRDefault="00062D94" w:rsidP="005C3F8E">
            <w:pPr>
              <w:pStyle w:val="Header"/>
              <w:spacing w:before="60" w:after="60"/>
              <w:rPr>
                <w:rFonts w:ascii="Franklin Gothic Book" w:hAnsi="Franklin Gothic Book" w:cs="Arial"/>
                <w:i/>
                <w:iCs/>
                <w:sz w:val="19"/>
                <w:szCs w:val="19"/>
                <w:lang w:val="en-CA"/>
              </w:rPr>
            </w:pPr>
            <w:r w:rsidRPr="00062D94">
              <w:rPr>
                <w:rFonts w:ascii="Franklin Gothic Book" w:hAnsi="Franklin Gothic Book" w:cs="Arial"/>
                <w:i/>
                <w:iCs/>
                <w:sz w:val="19"/>
                <w:szCs w:val="19"/>
                <w:lang w:val="en-CA"/>
              </w:rPr>
              <w:t>VCS Standard, v4.</w:t>
            </w:r>
            <w:r w:rsidR="00463012">
              <w:rPr>
                <w:rFonts w:ascii="Franklin Gothic Book" w:hAnsi="Franklin Gothic Book" w:cs="Arial"/>
                <w:i/>
                <w:iCs/>
                <w:sz w:val="19"/>
                <w:szCs w:val="19"/>
                <w:lang w:val="en-CA"/>
              </w:rPr>
              <w:t>2</w:t>
            </w:r>
          </w:p>
        </w:tc>
      </w:tr>
      <w:tr w:rsidR="00735F31" w:rsidRPr="008B0FD4" w14:paraId="452DEB57" w14:textId="77777777" w:rsidTr="00620C29">
        <w:trPr>
          <w:trHeight w:val="390"/>
        </w:trPr>
        <w:tc>
          <w:tcPr>
            <w:tcW w:w="2547" w:type="dxa"/>
            <w:tcBorders>
              <w:top w:val="single" w:sz="4" w:space="0" w:color="FFFFFF" w:themeColor="background1"/>
              <w:bottom w:val="single" w:sz="4" w:space="0" w:color="FFFFFF" w:themeColor="background1"/>
            </w:tcBorders>
            <w:shd w:val="clear" w:color="auto" w:fill="2B3A57"/>
            <w:vAlign w:val="center"/>
          </w:tcPr>
          <w:p w14:paraId="452DEB55" w14:textId="77777777" w:rsidR="00735F31" w:rsidRPr="002C0E47" w:rsidRDefault="00FD3AF7"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Date of First Issue</w:t>
            </w:r>
          </w:p>
        </w:tc>
        <w:tc>
          <w:tcPr>
            <w:tcW w:w="6813" w:type="dxa"/>
            <w:tcBorders>
              <w:top w:val="single" w:sz="4" w:space="0" w:color="FFFFFF" w:themeColor="background1"/>
              <w:bottom w:val="single" w:sz="4" w:space="0" w:color="FFFFFF" w:themeColor="background1"/>
            </w:tcBorders>
            <w:shd w:val="clear" w:color="auto" w:fill="F2F2F2"/>
            <w:vAlign w:val="center"/>
          </w:tcPr>
          <w:p w14:paraId="452DEB56" w14:textId="77777777" w:rsidR="00735F31" w:rsidRPr="002C0E47" w:rsidRDefault="00854A20" w:rsidP="00FD3AF7">
            <w:pPr>
              <w:pStyle w:val="Header"/>
              <w:spacing w:before="60" w:after="60"/>
              <w:rPr>
                <w:rFonts w:ascii="Franklin Gothic Book" w:hAnsi="Franklin Gothic Book" w:cs="Arial"/>
                <w:sz w:val="19"/>
                <w:szCs w:val="19"/>
                <w:lang w:val="en-CA"/>
              </w:rPr>
            </w:pPr>
            <w:r>
              <w:rPr>
                <w:rFonts w:ascii="Franklin Gothic Book" w:hAnsi="Franklin Gothic Book" w:cs="Arial"/>
                <w:sz w:val="19"/>
                <w:szCs w:val="19"/>
                <w:lang w:val="en-CA"/>
              </w:rPr>
              <w:t>20</w:t>
            </w:r>
            <w:r w:rsidR="00AC3707">
              <w:rPr>
                <w:rFonts w:ascii="Franklin Gothic Book" w:hAnsi="Franklin Gothic Book" w:cs="Arial"/>
                <w:sz w:val="19"/>
                <w:szCs w:val="19"/>
                <w:lang w:val="en-CA"/>
              </w:rPr>
              <w:t>April</w:t>
            </w:r>
            <w:r w:rsidR="004C62A5" w:rsidRPr="002C0E47">
              <w:rPr>
                <w:rFonts w:ascii="Franklin Gothic Book" w:hAnsi="Franklin Gothic Book" w:cs="Arial"/>
                <w:sz w:val="19"/>
                <w:szCs w:val="19"/>
                <w:lang w:val="en-CA"/>
              </w:rPr>
              <w:t xml:space="preserve"> 20</w:t>
            </w:r>
            <w:r w:rsidR="00AC3707">
              <w:rPr>
                <w:rFonts w:ascii="Franklin Gothic Book" w:hAnsi="Franklin Gothic Book" w:cs="Arial"/>
                <w:sz w:val="19"/>
                <w:szCs w:val="19"/>
                <w:lang w:val="en-CA"/>
              </w:rPr>
              <w:t>22</w:t>
            </w:r>
          </w:p>
        </w:tc>
      </w:tr>
      <w:tr w:rsidR="00F849C3" w:rsidRPr="008B0FD4" w14:paraId="452DEB5A" w14:textId="77777777" w:rsidTr="00620C29">
        <w:trPr>
          <w:trHeight w:val="390"/>
        </w:trPr>
        <w:tc>
          <w:tcPr>
            <w:tcW w:w="2547" w:type="dxa"/>
            <w:tcBorders>
              <w:top w:val="single" w:sz="4" w:space="0" w:color="FFFFFF" w:themeColor="background1"/>
            </w:tcBorders>
            <w:shd w:val="clear" w:color="auto" w:fill="2B3A57"/>
            <w:vAlign w:val="center"/>
          </w:tcPr>
          <w:p w14:paraId="452DEB58" w14:textId="77777777" w:rsidR="00F849C3" w:rsidRPr="002C0E47" w:rsidRDefault="00F849C3"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Date of</w:t>
            </w:r>
            <w:r w:rsidR="00FD3AF7" w:rsidRPr="002C0E47">
              <w:rPr>
                <w:rFonts w:ascii="Franklin Gothic Book" w:hAnsi="Franklin Gothic Book" w:cs="Arial"/>
                <w:b/>
                <w:color w:val="FFFFFF"/>
                <w:sz w:val="20"/>
                <w:szCs w:val="20"/>
                <w:lang w:val="en-CA"/>
              </w:rPr>
              <w:t xml:space="preserve"> Final </w:t>
            </w:r>
            <w:r w:rsidRPr="002C0E47">
              <w:rPr>
                <w:rFonts w:ascii="Franklin Gothic Book" w:hAnsi="Franklin Gothic Book" w:cs="Arial"/>
                <w:b/>
                <w:color w:val="FFFFFF"/>
                <w:sz w:val="20"/>
                <w:szCs w:val="20"/>
                <w:lang w:val="en-CA"/>
              </w:rPr>
              <w:t>Issue</w:t>
            </w:r>
          </w:p>
        </w:tc>
        <w:tc>
          <w:tcPr>
            <w:tcW w:w="6813" w:type="dxa"/>
            <w:tcBorders>
              <w:top w:val="single" w:sz="4" w:space="0" w:color="FFFFFF" w:themeColor="background1"/>
            </w:tcBorders>
            <w:shd w:val="clear" w:color="auto" w:fill="F2F2F2"/>
            <w:vAlign w:val="center"/>
          </w:tcPr>
          <w:p w14:paraId="452DEB59" w14:textId="2A927ECD" w:rsidR="00F849C3" w:rsidRPr="002C0E47" w:rsidRDefault="002E08A7" w:rsidP="007853F4">
            <w:pPr>
              <w:pStyle w:val="Header"/>
              <w:spacing w:before="60" w:after="60"/>
              <w:rPr>
                <w:rFonts w:ascii="Franklin Gothic Book" w:hAnsi="Franklin Gothic Book" w:cs="Arial"/>
                <w:sz w:val="19"/>
                <w:szCs w:val="19"/>
                <w:lang w:val="en-CA"/>
              </w:rPr>
            </w:pPr>
            <w:r>
              <w:rPr>
                <w:rFonts w:ascii="Franklin Gothic Book" w:hAnsi="Franklin Gothic Book" w:cs="Arial"/>
                <w:sz w:val="19"/>
                <w:szCs w:val="19"/>
                <w:lang w:val="en-CA"/>
              </w:rPr>
              <w:t>6 July 2022</w:t>
            </w:r>
          </w:p>
        </w:tc>
      </w:tr>
    </w:tbl>
    <w:p w14:paraId="452DEB5B" w14:textId="77777777" w:rsidR="00F849C3" w:rsidRPr="008B0FD4" w:rsidRDefault="00F849C3" w:rsidP="007C42DA">
      <w:pPr>
        <w:spacing w:after="0"/>
        <w:rPr>
          <w:rFonts w:ascii="Arial Bold" w:hAnsi="Arial Bold"/>
          <w:color w:val="005B82"/>
          <w:sz w:val="22"/>
          <w:szCs w:val="22"/>
        </w:rPr>
      </w:pPr>
    </w:p>
    <w:tbl>
      <w:tblPr>
        <w:tblW w:w="9360" w:type="dxa"/>
        <w:tblInd w:w="108" w:type="dxa"/>
        <w:tblLook w:val="0000" w:firstRow="0" w:lastRow="0" w:firstColumn="0" w:lastColumn="0" w:noHBand="0" w:noVBand="0"/>
      </w:tblPr>
      <w:tblGrid>
        <w:gridCol w:w="9360"/>
      </w:tblGrid>
      <w:tr w:rsidR="00F849C3" w:rsidRPr="008B0FD4" w14:paraId="452DEB5D" w14:textId="77777777" w:rsidTr="00620C29">
        <w:tc>
          <w:tcPr>
            <w:tcW w:w="9270" w:type="dxa"/>
            <w:tcBorders>
              <w:bottom w:val="single" w:sz="4" w:space="0" w:color="FFFFFF" w:themeColor="background1"/>
            </w:tcBorders>
            <w:shd w:val="clear" w:color="auto" w:fill="2B3A57"/>
          </w:tcPr>
          <w:p w14:paraId="452DEB5C" w14:textId="77777777" w:rsidR="00F849C3" w:rsidRPr="00A75443" w:rsidRDefault="00F849C3" w:rsidP="00A75443">
            <w:pPr>
              <w:pStyle w:val="Header"/>
              <w:tabs>
                <w:tab w:val="clear" w:pos="4153"/>
                <w:tab w:val="clear" w:pos="8306"/>
              </w:tabs>
              <w:spacing w:before="80" w:after="200" w:line="312" w:lineRule="auto"/>
              <w:rPr>
                <w:rFonts w:ascii="Century Gothic" w:hAnsi="Century Gothic" w:cs="Arial"/>
                <w:b/>
                <w:color w:val="FFFFFF" w:themeColor="background1"/>
                <w:sz w:val="20"/>
                <w:szCs w:val="20"/>
                <w:lang w:val="en-CA"/>
              </w:rPr>
            </w:pPr>
            <w:r w:rsidRPr="00A75443">
              <w:rPr>
                <w:rFonts w:ascii="Century Gothic" w:hAnsi="Century Gothic" w:cs="Arial"/>
                <w:b/>
                <w:color w:val="FFFFFF" w:themeColor="background1"/>
                <w:sz w:val="20"/>
                <w:szCs w:val="20"/>
                <w:lang w:val="en-CA"/>
              </w:rPr>
              <w:t>Summary:</w:t>
            </w:r>
          </w:p>
        </w:tc>
      </w:tr>
      <w:tr w:rsidR="00F849C3" w:rsidRPr="008B0FD4" w14:paraId="452DEB61" w14:textId="77777777" w:rsidTr="00620C29">
        <w:tc>
          <w:tcPr>
            <w:tcW w:w="9270" w:type="dxa"/>
            <w:tcBorders>
              <w:top w:val="single" w:sz="4" w:space="0" w:color="FFFFFF" w:themeColor="background1"/>
            </w:tcBorders>
            <w:shd w:val="clear" w:color="auto" w:fill="F2F2F2"/>
          </w:tcPr>
          <w:p w14:paraId="452DEB5E" w14:textId="77777777" w:rsidR="009C0C32" w:rsidRPr="00A75443" w:rsidRDefault="009C0C32" w:rsidP="00F408A8">
            <w:pPr>
              <w:spacing w:before="120" w:after="120"/>
              <w:rPr>
                <w:rFonts w:ascii="Franklin Gothic Book" w:hAnsi="Franklin Gothic Book"/>
                <w:iCs/>
                <w:color w:val="4F5150"/>
                <w:spacing w:val="2"/>
                <w:sz w:val="19"/>
                <w:szCs w:val="19"/>
              </w:rPr>
            </w:pPr>
            <w:r w:rsidRPr="00A75443">
              <w:rPr>
                <w:rFonts w:ascii="Franklin Gothic Book" w:hAnsi="Franklin Gothic Book"/>
                <w:iCs/>
                <w:color w:val="4F5150"/>
                <w:spacing w:val="2"/>
                <w:sz w:val="19"/>
                <w:szCs w:val="19"/>
              </w:rPr>
              <w:t>An accuracy review of the</w:t>
            </w:r>
            <w:r w:rsidR="00FB2062" w:rsidRPr="00FB2062">
              <w:rPr>
                <w:rFonts w:ascii="Franklin Gothic Book" w:hAnsi="Franklin Gothic Book"/>
                <w:iCs/>
                <w:color w:val="4F5150"/>
                <w:spacing w:val="2"/>
                <w:sz w:val="19"/>
                <w:szCs w:val="19"/>
              </w:rPr>
              <w:t xml:space="preserve">100 MW Solar Project in </w:t>
            </w:r>
            <w:proofErr w:type="spellStart"/>
            <w:r w:rsidR="00FB2062" w:rsidRPr="00FB2062">
              <w:rPr>
                <w:rFonts w:ascii="Franklin Gothic Book" w:hAnsi="Franklin Gothic Book"/>
                <w:iCs/>
                <w:color w:val="4F5150"/>
                <w:spacing w:val="2"/>
                <w:sz w:val="19"/>
                <w:szCs w:val="19"/>
              </w:rPr>
              <w:t>Bhadla</w:t>
            </w:r>
            <w:proofErr w:type="spellEnd"/>
            <w:r w:rsidR="00FB2062" w:rsidRPr="00FB2062">
              <w:rPr>
                <w:rFonts w:ascii="Franklin Gothic Book" w:hAnsi="Franklin Gothic Book"/>
                <w:iCs/>
                <w:color w:val="4F5150"/>
                <w:spacing w:val="2"/>
                <w:sz w:val="19"/>
                <w:szCs w:val="19"/>
              </w:rPr>
              <w:t xml:space="preserve"> in Rajasthan</w:t>
            </w:r>
            <w:r w:rsidR="00BF49A4" w:rsidRPr="00FB2062">
              <w:rPr>
                <w:rFonts w:ascii="Franklin Gothic Book" w:hAnsi="Franklin Gothic Book" w:cs="Arial"/>
                <w:color w:val="4F5150"/>
                <w:spacing w:val="2"/>
                <w:sz w:val="19"/>
                <w:szCs w:val="19"/>
                <w:lang w:val="en-CA"/>
              </w:rPr>
              <w:t>verification approval</w:t>
            </w:r>
            <w:r w:rsidRPr="00FB2062">
              <w:rPr>
                <w:rFonts w:ascii="Franklin Gothic Book" w:hAnsi="Franklin Gothic Book"/>
                <w:iCs/>
                <w:color w:val="4F5150"/>
                <w:spacing w:val="2"/>
                <w:sz w:val="19"/>
                <w:szCs w:val="19"/>
              </w:rPr>
              <w:t>re</w:t>
            </w:r>
            <w:r w:rsidR="00077679" w:rsidRPr="00FB2062">
              <w:rPr>
                <w:rFonts w:ascii="Franklin Gothic Book" w:hAnsi="Franklin Gothic Book"/>
                <w:iCs/>
                <w:color w:val="4F5150"/>
                <w:spacing w:val="2"/>
                <w:sz w:val="19"/>
                <w:szCs w:val="19"/>
              </w:rPr>
              <w:t>quest has been conducted by V</w:t>
            </w:r>
            <w:r w:rsidR="00106DBB" w:rsidRPr="00FB2062">
              <w:rPr>
                <w:rFonts w:ascii="Franklin Gothic Book" w:hAnsi="Franklin Gothic Book"/>
                <w:iCs/>
                <w:color w:val="4F5150"/>
                <w:spacing w:val="2"/>
                <w:sz w:val="19"/>
                <w:szCs w:val="19"/>
              </w:rPr>
              <w:t>erra</w:t>
            </w:r>
            <w:r w:rsidRPr="00FB2062">
              <w:rPr>
                <w:rFonts w:ascii="Franklin Gothic Book" w:hAnsi="Franklin Gothic Book"/>
                <w:iCs/>
                <w:color w:val="4F5150"/>
                <w:spacing w:val="2"/>
                <w:sz w:val="19"/>
                <w:szCs w:val="19"/>
              </w:rPr>
              <w:t xml:space="preserve"> in accordance with Section 4.3 of the </w:t>
            </w:r>
            <w:r w:rsidRPr="00FB2062">
              <w:rPr>
                <w:rFonts w:ascii="Franklin Gothic Book" w:hAnsi="Franklin Gothic Book"/>
                <w:i/>
                <w:iCs/>
                <w:color w:val="4F5150"/>
                <w:spacing w:val="2"/>
                <w:sz w:val="19"/>
                <w:szCs w:val="19"/>
              </w:rPr>
              <w:t>Registration and Issuance Process</w:t>
            </w:r>
            <w:r w:rsidRPr="00FB2062">
              <w:rPr>
                <w:rFonts w:ascii="Franklin Gothic Book" w:hAnsi="Franklin Gothic Book"/>
                <w:iCs/>
                <w:color w:val="4F5150"/>
                <w:spacing w:val="2"/>
                <w:sz w:val="19"/>
                <w:szCs w:val="19"/>
              </w:rPr>
              <w:t>.</w:t>
            </w:r>
          </w:p>
          <w:p w14:paraId="452DEB5F" w14:textId="511750BE" w:rsidR="0057727F" w:rsidRPr="00A75443" w:rsidRDefault="009C0C32" w:rsidP="00F408A8">
            <w:pPr>
              <w:spacing w:before="120" w:after="120"/>
              <w:rPr>
                <w:rFonts w:ascii="Franklin Gothic Book" w:hAnsi="Franklin Gothic Book"/>
                <w:iCs/>
                <w:color w:val="4F5150"/>
                <w:spacing w:val="2"/>
                <w:sz w:val="19"/>
                <w:szCs w:val="19"/>
              </w:rPr>
            </w:pPr>
            <w:r w:rsidRPr="00A75443">
              <w:rPr>
                <w:rFonts w:ascii="Franklin Gothic Book" w:hAnsi="Franklin Gothic Book"/>
                <w:iCs/>
                <w:color w:val="4F5150"/>
                <w:spacing w:val="2"/>
                <w:sz w:val="19"/>
                <w:szCs w:val="19"/>
              </w:rPr>
              <w:t xml:space="preserve">The accuracy review has raised </w:t>
            </w:r>
            <w:r w:rsidR="00FB2062">
              <w:rPr>
                <w:rFonts w:ascii="Franklin Gothic Book" w:hAnsi="Franklin Gothic Book"/>
                <w:iCs/>
                <w:color w:val="4F5150"/>
                <w:spacing w:val="2"/>
                <w:sz w:val="19"/>
                <w:szCs w:val="19"/>
              </w:rPr>
              <w:t>2</w:t>
            </w:r>
            <w:r w:rsidRPr="00A75443">
              <w:rPr>
                <w:rFonts w:ascii="Franklin Gothic Book" w:hAnsi="Franklin Gothic Book"/>
                <w:iCs/>
                <w:color w:val="4F5150"/>
                <w:spacing w:val="2"/>
                <w:sz w:val="19"/>
                <w:szCs w:val="19"/>
              </w:rPr>
              <w:t xml:space="preserve"> assessment findings, detailed below. The VVB, in coordination with the project proponent, is hereby required to provide a response to the assessment findings presented </w:t>
            </w:r>
            <w:r w:rsidR="00483976" w:rsidRPr="00A75443">
              <w:rPr>
                <w:rFonts w:ascii="Franklin Gothic Book" w:hAnsi="Franklin Gothic Book"/>
                <w:iCs/>
                <w:color w:val="4F5150"/>
                <w:spacing w:val="2"/>
                <w:sz w:val="19"/>
                <w:szCs w:val="19"/>
              </w:rPr>
              <w:t>in S</w:t>
            </w:r>
            <w:r w:rsidRPr="00A75443">
              <w:rPr>
                <w:rFonts w:ascii="Franklin Gothic Book" w:hAnsi="Franklin Gothic Book"/>
                <w:iCs/>
                <w:color w:val="4F5150"/>
                <w:spacing w:val="2"/>
                <w:sz w:val="19"/>
                <w:szCs w:val="19"/>
              </w:rPr>
              <w:t xml:space="preserve">ection 1. The </w:t>
            </w:r>
            <w:r w:rsidR="00FB2062">
              <w:rPr>
                <w:rFonts w:ascii="Franklin Gothic Book" w:hAnsi="Franklin Gothic Book"/>
                <w:iCs/>
                <w:color w:val="4F5150"/>
                <w:spacing w:val="2"/>
                <w:sz w:val="19"/>
                <w:szCs w:val="19"/>
              </w:rPr>
              <w:t>2</w:t>
            </w:r>
            <w:r w:rsidRPr="00A75443">
              <w:rPr>
                <w:rFonts w:ascii="Franklin Gothic Book" w:hAnsi="Franklin Gothic Book"/>
                <w:iCs/>
                <w:color w:val="4F5150"/>
                <w:spacing w:val="2"/>
                <w:sz w:val="19"/>
                <w:szCs w:val="19"/>
              </w:rPr>
              <w:t xml:space="preserve"> assessment findings must be addre</w:t>
            </w:r>
            <w:r w:rsidR="00077679" w:rsidRPr="00A75443">
              <w:rPr>
                <w:rFonts w:ascii="Franklin Gothic Book" w:hAnsi="Franklin Gothic Book"/>
                <w:iCs/>
                <w:color w:val="4F5150"/>
                <w:spacing w:val="2"/>
                <w:sz w:val="19"/>
                <w:szCs w:val="19"/>
              </w:rPr>
              <w:t>ssed to the satisfaction of V</w:t>
            </w:r>
            <w:r w:rsidR="00106DBB" w:rsidRPr="00A75443">
              <w:rPr>
                <w:rFonts w:ascii="Franklin Gothic Book" w:hAnsi="Franklin Gothic Book"/>
                <w:iCs/>
                <w:color w:val="4F5150"/>
                <w:spacing w:val="2"/>
                <w:sz w:val="19"/>
                <w:szCs w:val="19"/>
              </w:rPr>
              <w:t>erra</w:t>
            </w:r>
            <w:r w:rsidRPr="00731637">
              <w:rPr>
                <w:rFonts w:ascii="Franklin Gothic Book" w:hAnsi="Franklin Gothic Book"/>
                <w:iCs/>
                <w:color w:val="4F5150"/>
                <w:spacing w:val="2"/>
                <w:sz w:val="19"/>
                <w:szCs w:val="19"/>
              </w:rPr>
              <w:t xml:space="preserve">. The VVB need not address </w:t>
            </w:r>
            <w:r w:rsidR="00AC3D95" w:rsidRPr="00731637">
              <w:rPr>
                <w:rFonts w:ascii="Franklin Gothic Book" w:hAnsi="Franklin Gothic Book"/>
                <w:iCs/>
                <w:color w:val="4F5150"/>
                <w:spacing w:val="2"/>
                <w:sz w:val="19"/>
                <w:szCs w:val="19"/>
              </w:rPr>
              <w:t>the minor finding</w:t>
            </w:r>
            <w:r w:rsidR="004C62A5" w:rsidRPr="00731637">
              <w:rPr>
                <w:rFonts w:ascii="Franklin Gothic Book" w:hAnsi="Franklin Gothic Book"/>
                <w:iCs/>
                <w:color w:val="4F5150"/>
                <w:spacing w:val="2"/>
                <w:sz w:val="19"/>
                <w:szCs w:val="19"/>
              </w:rPr>
              <w:t>s</w:t>
            </w:r>
            <w:r w:rsidRPr="00731637">
              <w:rPr>
                <w:rFonts w:ascii="Franklin Gothic Book" w:hAnsi="Franklin Gothic Book"/>
                <w:iCs/>
                <w:color w:val="4F5150"/>
                <w:spacing w:val="2"/>
                <w:sz w:val="19"/>
                <w:szCs w:val="19"/>
              </w:rPr>
              <w:t xml:space="preserve"> during this review. Pl</w:t>
            </w:r>
            <w:r w:rsidR="00077679" w:rsidRPr="00731637">
              <w:rPr>
                <w:rFonts w:ascii="Franklin Gothic Book" w:hAnsi="Franklin Gothic Book"/>
                <w:iCs/>
                <w:color w:val="4F5150"/>
                <w:spacing w:val="2"/>
                <w:sz w:val="19"/>
                <w:szCs w:val="19"/>
              </w:rPr>
              <w:t>ease note</w:t>
            </w:r>
            <w:r w:rsidR="00AA60FB" w:rsidRPr="00731637">
              <w:rPr>
                <w:rFonts w:ascii="Franklin Gothic Book" w:hAnsi="Franklin Gothic Book"/>
                <w:iCs/>
                <w:color w:val="4F5150"/>
                <w:spacing w:val="2"/>
                <w:sz w:val="19"/>
                <w:szCs w:val="19"/>
              </w:rPr>
              <w:t>,</w:t>
            </w:r>
            <w:r w:rsidR="002E08A7">
              <w:rPr>
                <w:rFonts w:ascii="Franklin Gothic Book" w:hAnsi="Franklin Gothic Book"/>
                <w:iCs/>
                <w:color w:val="4F5150"/>
                <w:spacing w:val="2"/>
                <w:sz w:val="19"/>
                <w:szCs w:val="19"/>
              </w:rPr>
              <w:t xml:space="preserve"> </w:t>
            </w:r>
            <w:r w:rsidR="00483976" w:rsidRPr="00731637">
              <w:rPr>
                <w:rFonts w:ascii="Franklin Gothic Book" w:hAnsi="Franklin Gothic Book"/>
                <w:iCs/>
                <w:color w:val="4F5150"/>
                <w:spacing w:val="2"/>
                <w:sz w:val="19"/>
                <w:szCs w:val="19"/>
              </w:rPr>
              <w:t>however,</w:t>
            </w:r>
            <w:r w:rsidR="00077679" w:rsidRPr="00731637">
              <w:rPr>
                <w:rFonts w:ascii="Franklin Gothic Book" w:hAnsi="Franklin Gothic Book"/>
                <w:iCs/>
                <w:color w:val="4F5150"/>
                <w:spacing w:val="2"/>
                <w:sz w:val="19"/>
                <w:szCs w:val="19"/>
              </w:rPr>
              <w:t xml:space="preserve"> that where V</w:t>
            </w:r>
            <w:r w:rsidR="00106DBB" w:rsidRPr="00731637">
              <w:rPr>
                <w:rFonts w:ascii="Franklin Gothic Book" w:hAnsi="Franklin Gothic Book"/>
                <w:iCs/>
                <w:color w:val="4F5150"/>
                <w:spacing w:val="2"/>
                <w:sz w:val="19"/>
                <w:szCs w:val="19"/>
              </w:rPr>
              <w:t>erra</w:t>
            </w:r>
            <w:r w:rsidRPr="00731637">
              <w:rPr>
                <w:rFonts w:ascii="Franklin Gothic Book" w:hAnsi="Franklin Gothic Book"/>
                <w:iCs/>
                <w:color w:val="4F5150"/>
                <w:spacing w:val="2"/>
                <w:sz w:val="19"/>
                <w:szCs w:val="19"/>
              </w:rPr>
              <w:t xml:space="preserve"> finds consistent minor findings by the VVB in future reviews, minor findings shall be escalated to assessment findings.</w:t>
            </w:r>
          </w:p>
          <w:p w14:paraId="452DEB60" w14:textId="77777777" w:rsidR="009C0C32" w:rsidRPr="00A75443" w:rsidRDefault="009C0C32" w:rsidP="00F408A8">
            <w:pPr>
              <w:pStyle w:val="Default"/>
              <w:spacing w:before="120" w:after="120" w:line="288" w:lineRule="auto"/>
              <w:rPr>
                <w:rFonts w:ascii="Franklin Gothic Book" w:hAnsi="Franklin Gothic Book"/>
                <w:iCs/>
                <w:color w:val="4F5150"/>
                <w:spacing w:val="2"/>
                <w:sz w:val="19"/>
                <w:szCs w:val="19"/>
              </w:rPr>
            </w:pPr>
            <w:r w:rsidRPr="00A75443">
              <w:rPr>
                <w:rFonts w:ascii="Franklin Gothic Book" w:hAnsi="Franklin Gothic Book"/>
                <w:iCs/>
                <w:color w:val="4F5150"/>
                <w:spacing w:val="2"/>
                <w:sz w:val="19"/>
                <w:szCs w:val="19"/>
              </w:rPr>
              <w:t>This</w:t>
            </w:r>
            <w:r w:rsidR="00BF49A4">
              <w:rPr>
                <w:rFonts w:ascii="Franklin Gothic Book" w:hAnsi="Franklin Gothic Book"/>
                <w:iCs/>
                <w:color w:val="4F5150"/>
                <w:spacing w:val="2"/>
                <w:sz w:val="19"/>
                <w:szCs w:val="19"/>
              </w:rPr>
              <w:t xml:space="preserve"> project review</w:t>
            </w:r>
            <w:r w:rsidRPr="00A75443">
              <w:rPr>
                <w:rFonts w:ascii="Franklin Gothic Book" w:hAnsi="Franklin Gothic Book"/>
                <w:iCs/>
                <w:color w:val="4F5150"/>
                <w:spacing w:val="2"/>
                <w:sz w:val="19"/>
                <w:szCs w:val="19"/>
              </w:rPr>
              <w:t xml:space="preserve"> report </w:t>
            </w:r>
            <w:r w:rsidR="00BF49A4">
              <w:rPr>
                <w:rFonts w:ascii="Franklin Gothic Book" w:hAnsi="Franklin Gothic Book"/>
                <w:iCs/>
                <w:color w:val="4F5150"/>
                <w:spacing w:val="2"/>
                <w:sz w:val="19"/>
                <w:szCs w:val="19"/>
              </w:rPr>
              <w:t>will</w:t>
            </w:r>
            <w:r w:rsidR="004C406C" w:rsidRPr="00A75443">
              <w:rPr>
                <w:rFonts w:ascii="Franklin Gothic Book" w:hAnsi="Franklin Gothic Book"/>
                <w:iCs/>
                <w:color w:val="4F5150"/>
                <w:spacing w:val="2"/>
                <w:sz w:val="19"/>
                <w:szCs w:val="19"/>
              </w:rPr>
              <w:t xml:space="preserve"> be made publicly</w:t>
            </w:r>
            <w:r w:rsidR="00575727" w:rsidRPr="00A75443">
              <w:rPr>
                <w:rFonts w:ascii="Franklin Gothic Book" w:hAnsi="Franklin Gothic Book"/>
                <w:iCs/>
                <w:color w:val="4F5150"/>
                <w:spacing w:val="2"/>
                <w:sz w:val="19"/>
                <w:szCs w:val="19"/>
              </w:rPr>
              <w:t xml:space="preserve"> available. C</w:t>
            </w:r>
            <w:r w:rsidR="00CD43A5" w:rsidRPr="00A75443">
              <w:rPr>
                <w:rFonts w:ascii="Franklin Gothic Book" w:hAnsi="Franklin Gothic Book"/>
                <w:iCs/>
                <w:color w:val="4F5150"/>
                <w:spacing w:val="2"/>
                <w:sz w:val="19"/>
                <w:szCs w:val="19"/>
              </w:rPr>
              <w:t>onfidential information may be provided as separate attachments.</w:t>
            </w:r>
          </w:p>
        </w:tc>
      </w:tr>
    </w:tbl>
    <w:p w14:paraId="452DEB62" w14:textId="77777777" w:rsidR="0013789E" w:rsidRDefault="0013789E">
      <w:pPr>
        <w:spacing w:after="0" w:line="240" w:lineRule="auto"/>
        <w:rPr>
          <w:lang w:val="en-CA"/>
        </w:rPr>
      </w:pPr>
      <w:r>
        <w:rPr>
          <w:lang w:val="en-CA"/>
        </w:rPr>
        <w:br w:type="page"/>
      </w:r>
    </w:p>
    <w:p w14:paraId="452DEB63" w14:textId="77777777" w:rsidR="00554CA9" w:rsidRPr="00554CA9" w:rsidRDefault="005C5283" w:rsidP="00554CA9">
      <w:pPr>
        <w:pStyle w:val="Heading1"/>
        <w:numPr>
          <w:ilvl w:val="0"/>
          <w:numId w:val="50"/>
        </w:numPr>
        <w:rPr>
          <w:b w:val="0"/>
          <w:bCs w:val="0"/>
          <w:color w:val="057299"/>
        </w:rPr>
      </w:pPr>
      <w:r w:rsidRPr="00554CA9">
        <w:rPr>
          <w:b w:val="0"/>
          <w:bCs w:val="0"/>
          <w:color w:val="057299"/>
        </w:rPr>
        <w:lastRenderedPageBreak/>
        <w:t>A</w:t>
      </w:r>
      <w:r w:rsidR="00605FE0" w:rsidRPr="00554CA9">
        <w:rPr>
          <w:b w:val="0"/>
          <w:bCs w:val="0"/>
          <w:color w:val="057299"/>
        </w:rPr>
        <w:t>ssessment</w:t>
      </w:r>
      <w:r w:rsidRPr="00554CA9">
        <w:rPr>
          <w:b w:val="0"/>
          <w:bCs w:val="0"/>
          <w:color w:val="057299"/>
        </w:rPr>
        <w:t xml:space="preserve"> F</w:t>
      </w:r>
      <w:r w:rsidR="00605FE0" w:rsidRPr="00554CA9">
        <w:rPr>
          <w:b w:val="0"/>
          <w:bCs w:val="0"/>
          <w:color w:val="057299"/>
        </w:rPr>
        <w:t>indings</w:t>
      </w:r>
    </w:p>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EE27BB" w:rsidRPr="00E712AF" w14:paraId="452DEB65" w14:textId="77777777" w:rsidTr="0033417C">
        <w:trPr>
          <w:trHeight w:val="404"/>
        </w:trPr>
        <w:tc>
          <w:tcPr>
            <w:tcW w:w="8882" w:type="dxa"/>
            <w:tcBorders>
              <w:bottom w:val="single" w:sz="4" w:space="0" w:color="FFFFFF" w:themeColor="background1"/>
            </w:tcBorders>
            <w:shd w:val="clear" w:color="auto" w:fill="2B3A57"/>
          </w:tcPr>
          <w:p w14:paraId="452DEB64" w14:textId="77777777" w:rsidR="00286ADB" w:rsidRPr="00620C29" w:rsidRDefault="00EE27BB" w:rsidP="00286ADB">
            <w:pPr>
              <w:widowControl w:val="0"/>
              <w:spacing w:before="120" w:after="120" w:line="240" w:lineRule="auto"/>
              <w:rPr>
                <w:rFonts w:ascii="Franklin Gothic Book" w:hAnsi="Franklin Gothic Book"/>
                <w:b/>
                <w:iCs/>
                <w:szCs w:val="20"/>
              </w:rPr>
            </w:pPr>
            <w:r w:rsidRPr="00286ADB">
              <w:rPr>
                <w:rStyle w:val="SubtleEmphasis"/>
                <w:rFonts w:ascii="Franklin Gothic Book" w:hAnsi="Franklin Gothic Book"/>
                <w:b/>
                <w:i w:val="0"/>
                <w:color w:val="auto"/>
                <w:szCs w:val="20"/>
              </w:rPr>
              <w:t>Finding 1</w:t>
            </w:r>
          </w:p>
        </w:tc>
      </w:tr>
      <w:tr w:rsidR="00EE27BB" w:rsidRPr="00E712AF" w14:paraId="452DEB6D" w14:textId="77777777" w:rsidTr="00620C29">
        <w:tc>
          <w:tcPr>
            <w:tcW w:w="8882" w:type="dxa"/>
            <w:tcBorders>
              <w:top w:val="single" w:sz="4" w:space="0" w:color="FFFFFF" w:themeColor="background1"/>
              <w:bottom w:val="single" w:sz="4" w:space="0" w:color="FFFFFF" w:themeColor="background1"/>
            </w:tcBorders>
            <w:shd w:val="clear" w:color="auto" w:fill="F2F2F2"/>
          </w:tcPr>
          <w:p w14:paraId="452DEB66" w14:textId="77777777" w:rsidR="00750836" w:rsidRDefault="004F2014" w:rsidP="00286ADB">
            <w:pPr>
              <w:widowControl w:val="0"/>
              <w:tabs>
                <w:tab w:val="left" w:pos="2580"/>
              </w:tabs>
              <w:spacing w:before="120" w:after="120" w:line="240" w:lineRule="auto"/>
              <w:rPr>
                <w:rFonts w:ascii="Franklin Gothic Book" w:hAnsi="Franklin Gothic Book"/>
                <w:bCs/>
                <w:iCs/>
                <w:szCs w:val="20"/>
              </w:rPr>
            </w:pPr>
            <w:r>
              <w:rPr>
                <w:rFonts w:ascii="Franklin Gothic Book" w:hAnsi="Franklin Gothic Book"/>
                <w:bCs/>
                <w:iCs/>
                <w:szCs w:val="20"/>
                <w:lang w:val="en-US"/>
              </w:rPr>
              <w:t xml:space="preserve">Section </w:t>
            </w:r>
            <w:r w:rsidR="00423F00">
              <w:rPr>
                <w:rFonts w:ascii="Franklin Gothic Book" w:hAnsi="Franklin Gothic Book"/>
                <w:bCs/>
                <w:iCs/>
                <w:szCs w:val="20"/>
                <w:lang w:val="en-US"/>
              </w:rPr>
              <w:t>3.2</w:t>
            </w:r>
            <w:r w:rsidR="00750836">
              <w:rPr>
                <w:rFonts w:ascii="Franklin Gothic Book" w:hAnsi="Franklin Gothic Book"/>
                <w:bCs/>
                <w:iCs/>
                <w:szCs w:val="20"/>
                <w:lang w:val="en-US"/>
              </w:rPr>
              <w:t>1.5</w:t>
            </w:r>
            <w:r w:rsidR="00423F00">
              <w:rPr>
                <w:rFonts w:ascii="Franklin Gothic Book" w:hAnsi="Franklin Gothic Book"/>
                <w:bCs/>
                <w:iCs/>
                <w:szCs w:val="20"/>
                <w:lang w:val="en-US"/>
              </w:rPr>
              <w:t xml:space="preserve"> of the </w:t>
            </w:r>
            <w:r w:rsidR="00423F00">
              <w:rPr>
                <w:rFonts w:ascii="Franklin Gothic Book" w:hAnsi="Franklin Gothic Book"/>
                <w:bCs/>
                <w:i/>
                <w:szCs w:val="20"/>
                <w:lang w:val="en-US"/>
              </w:rPr>
              <w:t xml:space="preserve">VCS Standard v4.2 </w:t>
            </w:r>
            <w:r w:rsidR="00423F00">
              <w:rPr>
                <w:rFonts w:ascii="Franklin Gothic Book" w:hAnsi="Franklin Gothic Book"/>
                <w:bCs/>
                <w:iCs/>
                <w:szCs w:val="20"/>
                <w:lang w:val="en-US"/>
              </w:rPr>
              <w:t xml:space="preserve">states that </w:t>
            </w:r>
            <w:r w:rsidR="00750836">
              <w:rPr>
                <w:rFonts w:ascii="Franklin Gothic Book" w:hAnsi="Franklin Gothic Book"/>
                <w:bCs/>
                <w:iCs/>
                <w:szCs w:val="20"/>
                <w:lang w:val="en-US"/>
              </w:rPr>
              <w:t>“</w:t>
            </w:r>
            <w:r w:rsidR="00750836" w:rsidRPr="00750836">
              <w:rPr>
                <w:rFonts w:ascii="Franklin Gothic Book" w:hAnsi="Franklin Gothic Book"/>
                <w:bCs/>
                <w:iCs/>
                <w:szCs w:val="20"/>
              </w:rPr>
              <w:t xml:space="preserve">Where projects have sought or received another form of GHG-related environmental credit, the following information shall be provided to the validation/verification body: </w:t>
            </w:r>
          </w:p>
          <w:p w14:paraId="452DEB67" w14:textId="77777777" w:rsidR="00750836" w:rsidRDefault="00750836" w:rsidP="00750836">
            <w:pPr>
              <w:widowControl w:val="0"/>
              <w:tabs>
                <w:tab w:val="left" w:pos="2580"/>
              </w:tabs>
              <w:spacing w:before="120" w:after="120" w:line="240" w:lineRule="auto"/>
              <w:ind w:left="720"/>
              <w:rPr>
                <w:rFonts w:ascii="Franklin Gothic Book" w:hAnsi="Franklin Gothic Book"/>
                <w:bCs/>
                <w:iCs/>
                <w:szCs w:val="20"/>
              </w:rPr>
            </w:pPr>
            <w:r w:rsidRPr="00750836">
              <w:rPr>
                <w:rFonts w:ascii="Franklin Gothic Book" w:hAnsi="Franklin Gothic Book"/>
                <w:bCs/>
                <w:iCs/>
                <w:szCs w:val="20"/>
              </w:rPr>
              <w:t xml:space="preserve">1) Name and contact information of the relevant environmental credit program. </w:t>
            </w:r>
          </w:p>
          <w:p w14:paraId="452DEB68" w14:textId="77777777" w:rsidR="00750836" w:rsidRDefault="00750836" w:rsidP="00750836">
            <w:pPr>
              <w:widowControl w:val="0"/>
              <w:tabs>
                <w:tab w:val="left" w:pos="2580"/>
              </w:tabs>
              <w:spacing w:before="120" w:after="120" w:line="240" w:lineRule="auto"/>
              <w:ind w:left="720"/>
              <w:rPr>
                <w:rFonts w:ascii="Franklin Gothic Book" w:hAnsi="Franklin Gothic Book"/>
                <w:bCs/>
                <w:iCs/>
                <w:szCs w:val="20"/>
              </w:rPr>
            </w:pPr>
            <w:r w:rsidRPr="00750836">
              <w:rPr>
                <w:rFonts w:ascii="Franklin Gothic Book" w:hAnsi="Franklin Gothic Book"/>
                <w:bCs/>
                <w:iCs/>
                <w:szCs w:val="20"/>
              </w:rPr>
              <w:t xml:space="preserve">2) Details of the project as registered under the environmental credit program (e.g., project title and identification number as listed under the program). </w:t>
            </w:r>
          </w:p>
          <w:p w14:paraId="452DEB69" w14:textId="77777777" w:rsidR="00750836" w:rsidRDefault="00750836" w:rsidP="00750836">
            <w:pPr>
              <w:widowControl w:val="0"/>
              <w:tabs>
                <w:tab w:val="left" w:pos="2580"/>
              </w:tabs>
              <w:spacing w:before="120" w:after="120" w:line="240" w:lineRule="auto"/>
              <w:ind w:left="720"/>
              <w:rPr>
                <w:rFonts w:ascii="Franklin Gothic Book" w:hAnsi="Franklin Gothic Book"/>
                <w:bCs/>
                <w:iCs/>
                <w:szCs w:val="20"/>
              </w:rPr>
            </w:pPr>
            <w:r w:rsidRPr="00750836">
              <w:rPr>
                <w:rFonts w:ascii="Franklin Gothic Book" w:hAnsi="Franklin Gothic Book"/>
                <w:bCs/>
                <w:iCs/>
                <w:szCs w:val="20"/>
              </w:rPr>
              <w:t xml:space="preserve">3) Monitoring periods for which GHG-related environmental credits were sought or received under the environmental credit program. </w:t>
            </w:r>
          </w:p>
          <w:p w14:paraId="452DEB6A" w14:textId="77777777" w:rsidR="004F2014" w:rsidRPr="00423F00" w:rsidRDefault="00750836" w:rsidP="00750836">
            <w:pPr>
              <w:widowControl w:val="0"/>
              <w:tabs>
                <w:tab w:val="left" w:pos="2580"/>
              </w:tabs>
              <w:spacing w:before="120" w:after="120" w:line="240" w:lineRule="auto"/>
              <w:ind w:left="720"/>
              <w:rPr>
                <w:rFonts w:ascii="Franklin Gothic Book" w:hAnsi="Franklin Gothic Book"/>
                <w:bCs/>
                <w:iCs/>
                <w:szCs w:val="20"/>
                <w:lang w:val="en-US"/>
              </w:rPr>
            </w:pPr>
            <w:r w:rsidRPr="00750836">
              <w:rPr>
                <w:rFonts w:ascii="Franklin Gothic Book" w:hAnsi="Franklin Gothic Book"/>
                <w:bCs/>
                <w:iCs/>
                <w:szCs w:val="20"/>
              </w:rPr>
              <w:t>4) Details of all GHG-related environmental credits sought or received under the environmental credit program (e.g., volumes and serial numbers)</w:t>
            </w:r>
            <w:r w:rsidR="00D67876" w:rsidRPr="00D67876">
              <w:rPr>
                <w:rFonts w:ascii="Franklin Gothic Book" w:hAnsi="Franklin Gothic Book"/>
                <w:bCs/>
                <w:iCs/>
                <w:szCs w:val="20"/>
              </w:rPr>
              <w:t>.</w:t>
            </w:r>
            <w:r w:rsidR="00D67876">
              <w:rPr>
                <w:rFonts w:ascii="Franklin Gothic Book" w:hAnsi="Franklin Gothic Book"/>
                <w:bCs/>
                <w:iCs/>
                <w:szCs w:val="20"/>
              </w:rPr>
              <w:t>”</w:t>
            </w:r>
          </w:p>
          <w:p w14:paraId="452DEB6B" w14:textId="77777777" w:rsidR="00AC1F80" w:rsidRDefault="00D67876" w:rsidP="00286ADB">
            <w:pPr>
              <w:widowControl w:val="0"/>
              <w:tabs>
                <w:tab w:val="left" w:pos="2580"/>
              </w:tabs>
              <w:spacing w:before="120" w:after="120" w:line="240" w:lineRule="auto"/>
              <w:rPr>
                <w:rFonts w:ascii="Franklin Gothic Book" w:hAnsi="Franklin Gothic Book"/>
                <w:bCs/>
                <w:iCs/>
                <w:szCs w:val="20"/>
                <w:lang w:val="en-US"/>
              </w:rPr>
            </w:pPr>
            <w:r>
              <w:rPr>
                <w:rFonts w:ascii="Franklin Gothic Book" w:hAnsi="Franklin Gothic Book"/>
                <w:bCs/>
                <w:iCs/>
                <w:szCs w:val="20"/>
                <w:lang w:val="en-US"/>
              </w:rPr>
              <w:t xml:space="preserve">According to </w:t>
            </w:r>
            <w:r w:rsidR="00C266D9">
              <w:rPr>
                <w:rFonts w:ascii="Franklin Gothic Book" w:hAnsi="Franklin Gothic Book"/>
                <w:bCs/>
                <w:iCs/>
                <w:szCs w:val="20"/>
                <w:lang w:val="en-US"/>
              </w:rPr>
              <w:t xml:space="preserve">the Gold Standard Impact Registry, </w:t>
            </w:r>
            <w:r w:rsidR="00315FB2">
              <w:rPr>
                <w:rFonts w:ascii="Franklin Gothic Book" w:hAnsi="Franklin Gothic Book"/>
                <w:bCs/>
                <w:iCs/>
                <w:szCs w:val="20"/>
                <w:lang w:val="en-US"/>
              </w:rPr>
              <w:t xml:space="preserve">this project is listed </w:t>
            </w:r>
            <w:r w:rsidR="00317097">
              <w:rPr>
                <w:rFonts w:ascii="Franklin Gothic Book" w:hAnsi="Franklin Gothic Book"/>
                <w:bCs/>
                <w:iCs/>
                <w:szCs w:val="20"/>
                <w:lang w:val="en-US"/>
              </w:rPr>
              <w:t xml:space="preserve">under GS ID 11215. </w:t>
            </w:r>
            <w:r w:rsidR="00EE18E7" w:rsidRPr="00EE18E7">
              <w:rPr>
                <w:rFonts w:ascii="Franklin Gothic Book" w:hAnsi="Franklin Gothic Book"/>
                <w:bCs/>
                <w:iCs/>
                <w:szCs w:val="20"/>
                <w:lang w:val="en-US"/>
              </w:rPr>
              <w:t xml:space="preserve">Sections 1.9 and 1.10 of the </w:t>
            </w:r>
            <w:r w:rsidR="00317097">
              <w:rPr>
                <w:rFonts w:ascii="Franklin Gothic Book" w:hAnsi="Franklin Gothic Book"/>
                <w:bCs/>
                <w:iCs/>
                <w:szCs w:val="20"/>
                <w:lang w:val="en-US"/>
              </w:rPr>
              <w:t>monitoring report</w:t>
            </w:r>
            <w:r w:rsidR="00EE18E7" w:rsidRPr="00EE18E7">
              <w:rPr>
                <w:rFonts w:ascii="Franklin Gothic Book" w:hAnsi="Franklin Gothic Book"/>
                <w:bCs/>
                <w:iCs/>
                <w:szCs w:val="20"/>
                <w:lang w:val="en-US"/>
              </w:rPr>
              <w:t xml:space="preserve"> do not mention th</w:t>
            </w:r>
            <w:r w:rsidR="00317097">
              <w:rPr>
                <w:rFonts w:ascii="Franklin Gothic Book" w:hAnsi="Franklin Gothic Book"/>
                <w:bCs/>
                <w:iCs/>
                <w:szCs w:val="20"/>
                <w:lang w:val="en-US"/>
              </w:rPr>
              <w:t>at the project has been listed on another GHG program</w:t>
            </w:r>
            <w:r w:rsidR="00EE18E7" w:rsidRPr="00EE18E7">
              <w:rPr>
                <w:rFonts w:ascii="Franklin Gothic Book" w:hAnsi="Franklin Gothic Book"/>
                <w:bCs/>
                <w:iCs/>
                <w:szCs w:val="20"/>
                <w:lang w:val="en-US"/>
              </w:rPr>
              <w:t xml:space="preserve">. </w:t>
            </w:r>
          </w:p>
          <w:p w14:paraId="452DEB6C" w14:textId="77777777" w:rsidR="00483160" w:rsidRPr="00483160" w:rsidRDefault="00FB61AD" w:rsidP="00286ADB">
            <w:pPr>
              <w:widowControl w:val="0"/>
              <w:tabs>
                <w:tab w:val="left" w:pos="2580"/>
              </w:tabs>
              <w:spacing w:before="120" w:after="120" w:line="240" w:lineRule="auto"/>
              <w:rPr>
                <w:rFonts w:ascii="Franklin Gothic Book" w:hAnsi="Franklin Gothic Book"/>
                <w:iCs/>
                <w:szCs w:val="20"/>
              </w:rPr>
            </w:pPr>
            <w:r w:rsidRPr="00FB61AD">
              <w:rPr>
                <w:rFonts w:ascii="Franklin Gothic Book" w:hAnsi="Franklin Gothic Book"/>
                <w:iCs/>
                <w:szCs w:val="20"/>
              </w:rPr>
              <w:t xml:space="preserve">The VVB must request the project proponent update </w:t>
            </w:r>
            <w:r>
              <w:rPr>
                <w:rFonts w:ascii="Franklin Gothic Book" w:hAnsi="Franklin Gothic Book"/>
                <w:iCs/>
                <w:szCs w:val="20"/>
              </w:rPr>
              <w:t xml:space="preserve">Section </w:t>
            </w:r>
            <w:r w:rsidR="005D2604">
              <w:rPr>
                <w:rFonts w:ascii="Franklin Gothic Book" w:hAnsi="Franklin Gothic Book"/>
                <w:iCs/>
                <w:szCs w:val="20"/>
              </w:rPr>
              <w:t xml:space="preserve">1.9 and 1.10 of the monitoring report to include the information required by </w:t>
            </w:r>
            <w:r w:rsidR="005D2604">
              <w:rPr>
                <w:rFonts w:ascii="Franklin Gothic Book" w:hAnsi="Franklin Gothic Book"/>
                <w:bCs/>
                <w:iCs/>
                <w:szCs w:val="20"/>
                <w:lang w:val="en-US"/>
              </w:rPr>
              <w:t xml:space="preserve">Section 3.21.5 of the </w:t>
            </w:r>
            <w:r w:rsidR="005D2604">
              <w:rPr>
                <w:rFonts w:ascii="Franklin Gothic Book" w:hAnsi="Franklin Gothic Book"/>
                <w:bCs/>
                <w:i/>
                <w:szCs w:val="20"/>
                <w:lang w:val="en-US"/>
              </w:rPr>
              <w:t xml:space="preserve">VCS Standard v4.2. </w:t>
            </w:r>
            <w:r w:rsidR="00483160">
              <w:rPr>
                <w:rFonts w:ascii="Franklin Gothic Book" w:hAnsi="Franklin Gothic Book"/>
                <w:iCs/>
                <w:szCs w:val="20"/>
              </w:rPr>
              <w:t xml:space="preserve">The VVB is requested to </w:t>
            </w:r>
            <w:r w:rsidR="00191397">
              <w:rPr>
                <w:rFonts w:ascii="Franklin Gothic Book" w:hAnsi="Franklin Gothic Book"/>
                <w:iCs/>
                <w:szCs w:val="20"/>
              </w:rPr>
              <w:t xml:space="preserve">update Section 3.1 of the verification report with an assessment of the project’s status to </w:t>
            </w:r>
            <w:r w:rsidR="00226E6E">
              <w:rPr>
                <w:rFonts w:ascii="Franklin Gothic Book" w:hAnsi="Franklin Gothic Book"/>
                <w:iCs/>
                <w:szCs w:val="20"/>
              </w:rPr>
              <w:t>ensure there is no double counting</w:t>
            </w:r>
            <w:r w:rsidR="00BE66A6">
              <w:rPr>
                <w:rFonts w:ascii="Franklin Gothic Book" w:hAnsi="Franklin Gothic Book"/>
                <w:iCs/>
                <w:szCs w:val="20"/>
              </w:rPr>
              <w:t>.</w:t>
            </w:r>
          </w:p>
        </w:tc>
      </w:tr>
      <w:tr w:rsidR="009D03CB" w:rsidRPr="00E712AF" w14:paraId="452DEB76" w14:textId="77777777" w:rsidTr="00620C29">
        <w:tc>
          <w:tcPr>
            <w:tcW w:w="8882" w:type="dxa"/>
            <w:tcBorders>
              <w:top w:val="single" w:sz="4" w:space="0" w:color="FFFFFF" w:themeColor="background1"/>
              <w:bottom w:val="single" w:sz="4" w:space="0" w:color="FFFFFF" w:themeColor="background1"/>
            </w:tcBorders>
            <w:shd w:val="clear" w:color="auto" w:fill="F2F2F2"/>
          </w:tcPr>
          <w:p w14:paraId="452DEB6E" w14:textId="77777777" w:rsidR="009D03CB" w:rsidRPr="0025578F" w:rsidRDefault="009D03CB" w:rsidP="009D03CB">
            <w:pPr>
              <w:widowControl w:val="0"/>
              <w:tabs>
                <w:tab w:val="left" w:pos="2580"/>
              </w:tabs>
              <w:spacing w:before="120" w:after="120" w:line="240" w:lineRule="auto"/>
              <w:jc w:val="both"/>
              <w:rPr>
                <w:rFonts w:ascii="Franklin Gothic Book" w:hAnsi="Franklin Gothic Book"/>
                <w:b/>
                <w:bCs/>
                <w:iCs/>
                <w:color w:val="4F81BD" w:themeColor="accent1"/>
                <w:szCs w:val="20"/>
              </w:rPr>
            </w:pPr>
            <w:r w:rsidRPr="0025578F">
              <w:rPr>
                <w:rFonts w:ascii="Franklin Gothic Book" w:hAnsi="Franklin Gothic Book"/>
                <w:b/>
                <w:bCs/>
                <w:iCs/>
                <w:color w:val="4F81BD" w:themeColor="accent1"/>
                <w:szCs w:val="20"/>
              </w:rPr>
              <w:t>PP Response</w:t>
            </w:r>
            <w:r>
              <w:rPr>
                <w:rFonts w:ascii="Franklin Gothic Book" w:hAnsi="Franklin Gothic Book"/>
                <w:b/>
                <w:bCs/>
                <w:iCs/>
                <w:color w:val="4F81BD" w:themeColor="accent1"/>
                <w:szCs w:val="20"/>
              </w:rPr>
              <w:t xml:space="preserve"> (25/04/2022)</w:t>
            </w:r>
            <w:r w:rsidRPr="0025578F">
              <w:rPr>
                <w:rFonts w:ascii="Franklin Gothic Book" w:hAnsi="Franklin Gothic Book"/>
                <w:b/>
                <w:bCs/>
                <w:iCs/>
                <w:color w:val="4F81BD" w:themeColor="accent1"/>
                <w:szCs w:val="20"/>
              </w:rPr>
              <w:t>:</w:t>
            </w:r>
          </w:p>
          <w:p w14:paraId="452DEB6F" w14:textId="77777777" w:rsidR="009D03CB" w:rsidRDefault="009D03CB" w:rsidP="009D03CB">
            <w:pPr>
              <w:widowControl w:val="0"/>
              <w:tabs>
                <w:tab w:val="left" w:pos="2580"/>
              </w:tabs>
              <w:spacing w:before="120" w:after="120" w:line="240" w:lineRule="auto"/>
              <w:jc w:val="both"/>
              <w:rPr>
                <w:rFonts w:ascii="Franklin Gothic Book" w:hAnsi="Franklin Gothic Book"/>
                <w:bCs/>
                <w:iCs/>
                <w:color w:val="4F81BD" w:themeColor="accent1"/>
                <w:szCs w:val="20"/>
              </w:rPr>
            </w:pPr>
            <w:r w:rsidRPr="00B51F30">
              <w:rPr>
                <w:rFonts w:ascii="Franklin Gothic Book" w:hAnsi="Franklin Gothic Book"/>
                <w:bCs/>
                <w:iCs/>
                <w:color w:val="4F81BD" w:themeColor="accent1"/>
                <w:szCs w:val="20"/>
              </w:rPr>
              <w:t>PP would like to re-confirm that the project is not being pursued under Gold Standard and/or any other mechanism, hence current validity of the project is only under VCS of VERRA. However, PP would like to inform that in the previous year PP had evaluated the possibility of the project under Gold Standard Mechanism due to its high sustainable contributions associated with the project,</w:t>
            </w:r>
            <w:r>
              <w:rPr>
                <w:rFonts w:ascii="Franklin Gothic Book" w:hAnsi="Franklin Gothic Book"/>
                <w:bCs/>
                <w:iCs/>
                <w:color w:val="4F81BD" w:themeColor="accent1"/>
                <w:szCs w:val="20"/>
              </w:rPr>
              <w:t xml:space="preserve"> in this regard an initial account opening and listing process was initiated by the PP. However, the same was not pursued further and only VCS is being considered for the project. Therefore, during the verification process an Official Declaration was submitted to VVB confirming the status of no other GHG and/or environmental credits for the project. However, PP is now issuing another Declaration with justification of Gold Standard account listing of the project. </w:t>
            </w:r>
          </w:p>
          <w:p w14:paraId="452DEB70" w14:textId="77777777" w:rsidR="009D03CB" w:rsidRPr="0025578F" w:rsidRDefault="009D03CB" w:rsidP="009D03CB">
            <w:pPr>
              <w:widowControl w:val="0"/>
              <w:tabs>
                <w:tab w:val="left" w:pos="2580"/>
              </w:tabs>
              <w:spacing w:before="120" w:after="120" w:line="240" w:lineRule="auto"/>
              <w:jc w:val="both"/>
              <w:rPr>
                <w:rFonts w:ascii="Franklin Gothic Book" w:hAnsi="Franklin Gothic Book"/>
                <w:bCs/>
                <w:iCs/>
                <w:color w:val="4F81BD" w:themeColor="accent1"/>
                <w:szCs w:val="20"/>
              </w:rPr>
            </w:pPr>
            <w:r>
              <w:rPr>
                <w:rFonts w:ascii="Franklin Gothic Book" w:hAnsi="Franklin Gothic Book"/>
                <w:bCs/>
                <w:iCs/>
                <w:color w:val="4F81BD" w:themeColor="accent1"/>
                <w:szCs w:val="20"/>
              </w:rPr>
              <w:t>PP would like to highlight that even though the project ID is found under Gold Standard the same is not valid as explained above. Additionally, this is also to be noted that further pursue under Gold Standard is also not feasible unless the project is voluntarily withdrawn from VCS. Hence, PP reassures that project is currently not being considered under any other mechanism ex</w:t>
            </w:r>
            <w:r w:rsidRPr="0025578F">
              <w:rPr>
                <w:rFonts w:ascii="Franklin Gothic Book" w:hAnsi="Franklin Gothic Book"/>
                <w:bCs/>
                <w:iCs/>
                <w:color w:val="4F81BD" w:themeColor="accent1"/>
                <w:szCs w:val="20"/>
              </w:rPr>
              <w:t>cept VCS.</w:t>
            </w:r>
          </w:p>
          <w:p w14:paraId="452DEB71" w14:textId="77777777" w:rsidR="00AA7D9F" w:rsidRDefault="00AA7D9F" w:rsidP="00AA7D9F">
            <w:pPr>
              <w:widowControl w:val="0"/>
              <w:tabs>
                <w:tab w:val="left" w:pos="2580"/>
              </w:tabs>
              <w:spacing w:before="120" w:after="120" w:line="240" w:lineRule="auto"/>
              <w:rPr>
                <w:rFonts w:ascii="Franklin Gothic Book" w:hAnsi="Franklin Gothic Book"/>
                <w:b/>
                <w:bCs/>
                <w:iCs/>
                <w:color w:val="4F81BD" w:themeColor="accent1"/>
                <w:szCs w:val="20"/>
              </w:rPr>
            </w:pPr>
            <w:r w:rsidRPr="00E83995">
              <w:rPr>
                <w:rFonts w:ascii="Franklin Gothic Book" w:hAnsi="Franklin Gothic Book"/>
                <w:b/>
                <w:bCs/>
                <w:iCs/>
                <w:color w:val="4F81BD" w:themeColor="accent1"/>
                <w:szCs w:val="20"/>
              </w:rPr>
              <w:t xml:space="preserve">Attached: </w:t>
            </w:r>
          </w:p>
          <w:p w14:paraId="452DEB72" w14:textId="77777777" w:rsidR="00AA7D9F" w:rsidRPr="00E83995" w:rsidRDefault="00AA7D9F" w:rsidP="00AA7D9F">
            <w:pPr>
              <w:widowControl w:val="0"/>
              <w:tabs>
                <w:tab w:val="left" w:pos="2580"/>
              </w:tabs>
              <w:spacing w:before="120" w:after="120" w:line="240" w:lineRule="auto"/>
              <w:rPr>
                <w:rFonts w:ascii="Franklin Gothic Book" w:hAnsi="Franklin Gothic Book"/>
                <w:b/>
                <w:bCs/>
                <w:iCs/>
                <w:color w:val="4F81BD" w:themeColor="accent1"/>
                <w:szCs w:val="20"/>
              </w:rPr>
            </w:pPr>
            <w:r>
              <w:rPr>
                <w:rFonts w:ascii="Franklin Gothic Book" w:hAnsi="Franklin Gothic Book"/>
                <w:b/>
                <w:bCs/>
                <w:iCs/>
                <w:color w:val="4F81BD" w:themeColor="accent1"/>
                <w:szCs w:val="20"/>
              </w:rPr>
              <w:t xml:space="preserve">(1) </w:t>
            </w:r>
            <w:r w:rsidRPr="00E83995">
              <w:rPr>
                <w:rFonts w:ascii="Franklin Gothic Book" w:hAnsi="Franklin Gothic Book"/>
                <w:b/>
                <w:bCs/>
                <w:iCs/>
                <w:color w:val="4F81BD" w:themeColor="accent1"/>
                <w:szCs w:val="20"/>
              </w:rPr>
              <w:t xml:space="preserve">Revised MR Version 03 (dated </w:t>
            </w:r>
            <w:r>
              <w:rPr>
                <w:rFonts w:ascii="Franklin Gothic Book" w:hAnsi="Franklin Gothic Book"/>
                <w:b/>
                <w:bCs/>
                <w:iCs/>
                <w:color w:val="4F81BD" w:themeColor="accent1"/>
                <w:szCs w:val="20"/>
              </w:rPr>
              <w:t>25</w:t>
            </w:r>
            <w:r w:rsidRPr="00E83995">
              <w:rPr>
                <w:rFonts w:ascii="Franklin Gothic Book" w:hAnsi="Franklin Gothic Book"/>
                <w:b/>
                <w:bCs/>
                <w:iCs/>
                <w:color w:val="4F81BD" w:themeColor="accent1"/>
                <w:szCs w:val="20"/>
              </w:rPr>
              <w:t>/04/2022) with the following changes:</w:t>
            </w:r>
          </w:p>
          <w:p w14:paraId="452DEB73" w14:textId="77777777" w:rsidR="00AA7D9F" w:rsidRDefault="00AA7D9F" w:rsidP="00AA7D9F">
            <w:pPr>
              <w:widowControl w:val="0"/>
              <w:tabs>
                <w:tab w:val="left" w:pos="2580"/>
              </w:tabs>
              <w:spacing w:before="120" w:after="120" w:line="240" w:lineRule="auto"/>
              <w:rPr>
                <w:rFonts w:ascii="Franklin Gothic Book" w:hAnsi="Franklin Gothic Book"/>
                <w:bCs/>
                <w:iCs/>
                <w:color w:val="4F81BD" w:themeColor="accent1"/>
                <w:szCs w:val="20"/>
              </w:rPr>
            </w:pPr>
            <w:r w:rsidRPr="0025578F">
              <w:rPr>
                <w:rFonts w:ascii="Franklin Gothic Book" w:hAnsi="Franklin Gothic Book"/>
                <w:bCs/>
                <w:iCs/>
                <w:color w:val="4F81BD" w:themeColor="accent1"/>
                <w:szCs w:val="20"/>
              </w:rPr>
              <w:t>(</w:t>
            </w:r>
            <w:proofErr w:type="spellStart"/>
            <w:r w:rsidRPr="0025578F">
              <w:rPr>
                <w:rFonts w:ascii="Franklin Gothic Book" w:hAnsi="Franklin Gothic Book"/>
                <w:bCs/>
                <w:iCs/>
                <w:color w:val="4F81BD" w:themeColor="accent1"/>
                <w:szCs w:val="20"/>
              </w:rPr>
              <w:t>i</w:t>
            </w:r>
            <w:proofErr w:type="spellEnd"/>
            <w:r w:rsidRPr="0025578F">
              <w:rPr>
                <w:rFonts w:ascii="Franklin Gothic Book" w:hAnsi="Franklin Gothic Book"/>
                <w:bCs/>
                <w:iCs/>
                <w:color w:val="4F81BD" w:themeColor="accent1"/>
                <w:szCs w:val="20"/>
              </w:rPr>
              <w:t xml:space="preserve">) </w:t>
            </w:r>
            <w:r>
              <w:rPr>
                <w:rFonts w:ascii="Franklin Gothic Book" w:hAnsi="Franklin Gothic Book"/>
                <w:bCs/>
                <w:iCs/>
                <w:color w:val="4F81BD" w:themeColor="accent1"/>
                <w:szCs w:val="20"/>
              </w:rPr>
              <w:t>Revised MR as per new template version 04.1, with additional information under Section 1.11</w:t>
            </w:r>
          </w:p>
          <w:p w14:paraId="452DEB74" w14:textId="77777777" w:rsidR="00AA7D9F" w:rsidRPr="0025578F" w:rsidRDefault="00AA7D9F" w:rsidP="00AA7D9F">
            <w:pPr>
              <w:widowControl w:val="0"/>
              <w:tabs>
                <w:tab w:val="left" w:pos="2580"/>
              </w:tabs>
              <w:spacing w:before="120" w:after="120" w:line="240" w:lineRule="auto"/>
              <w:rPr>
                <w:rFonts w:ascii="Franklin Gothic Book" w:hAnsi="Franklin Gothic Book"/>
                <w:bCs/>
                <w:iCs/>
                <w:color w:val="4F81BD" w:themeColor="accent1"/>
                <w:szCs w:val="20"/>
              </w:rPr>
            </w:pPr>
            <w:r>
              <w:rPr>
                <w:rFonts w:ascii="Franklin Gothic Book" w:hAnsi="Franklin Gothic Book"/>
                <w:bCs/>
                <w:iCs/>
                <w:color w:val="4F81BD" w:themeColor="accent1"/>
                <w:szCs w:val="20"/>
              </w:rPr>
              <w:t xml:space="preserve">(ii) </w:t>
            </w:r>
            <w:r w:rsidRPr="0025578F">
              <w:rPr>
                <w:rFonts w:ascii="Franklin Gothic Book" w:hAnsi="Franklin Gothic Book"/>
                <w:bCs/>
                <w:iCs/>
                <w:color w:val="4F81BD" w:themeColor="accent1"/>
                <w:szCs w:val="20"/>
              </w:rPr>
              <w:t>Revise</w:t>
            </w:r>
            <w:r>
              <w:rPr>
                <w:rFonts w:ascii="Franklin Gothic Book" w:hAnsi="Franklin Gothic Book"/>
                <w:bCs/>
                <w:iCs/>
                <w:color w:val="4F81BD" w:themeColor="accent1"/>
                <w:szCs w:val="20"/>
              </w:rPr>
              <w:t>d</w:t>
            </w:r>
            <w:r w:rsidRPr="0025578F">
              <w:rPr>
                <w:rFonts w:ascii="Franklin Gothic Book" w:hAnsi="Franklin Gothic Book"/>
                <w:bCs/>
                <w:iCs/>
                <w:color w:val="4F81BD" w:themeColor="accent1"/>
                <w:szCs w:val="20"/>
              </w:rPr>
              <w:t xml:space="preserve"> MR with further justification under section </w:t>
            </w:r>
            <w:r>
              <w:rPr>
                <w:rFonts w:ascii="Franklin Gothic Book" w:hAnsi="Franklin Gothic Book"/>
                <w:bCs/>
                <w:iCs/>
                <w:color w:val="4F81BD" w:themeColor="accent1"/>
                <w:szCs w:val="20"/>
              </w:rPr>
              <w:t>1</w:t>
            </w:r>
            <w:r w:rsidRPr="0025578F">
              <w:rPr>
                <w:rFonts w:ascii="Franklin Gothic Book" w:hAnsi="Franklin Gothic Book"/>
                <w:bCs/>
                <w:iCs/>
                <w:color w:val="4F81BD" w:themeColor="accent1"/>
                <w:szCs w:val="20"/>
              </w:rPr>
              <w:t>.</w:t>
            </w:r>
            <w:r>
              <w:rPr>
                <w:rFonts w:ascii="Franklin Gothic Book" w:hAnsi="Franklin Gothic Book"/>
                <w:bCs/>
                <w:iCs/>
                <w:color w:val="4F81BD" w:themeColor="accent1"/>
                <w:szCs w:val="20"/>
              </w:rPr>
              <w:t>9</w:t>
            </w:r>
            <w:r w:rsidRPr="0025578F">
              <w:rPr>
                <w:rFonts w:ascii="Franklin Gothic Book" w:hAnsi="Franklin Gothic Book"/>
                <w:bCs/>
                <w:iCs/>
                <w:color w:val="4F81BD" w:themeColor="accent1"/>
                <w:szCs w:val="20"/>
              </w:rPr>
              <w:t xml:space="preserve"> of the MR</w:t>
            </w:r>
            <w:r>
              <w:rPr>
                <w:rFonts w:ascii="Franklin Gothic Book" w:hAnsi="Franklin Gothic Book"/>
                <w:bCs/>
                <w:iCs/>
                <w:color w:val="4F81BD" w:themeColor="accent1"/>
                <w:szCs w:val="20"/>
              </w:rPr>
              <w:t>, under the footnote reference #6,</w:t>
            </w:r>
          </w:p>
          <w:p w14:paraId="452DEB75" w14:textId="77777777" w:rsidR="009D03CB" w:rsidRPr="00286ADB" w:rsidRDefault="00AA7D9F" w:rsidP="00AA7D9F">
            <w:pPr>
              <w:widowControl w:val="0"/>
              <w:tabs>
                <w:tab w:val="left" w:pos="2580"/>
              </w:tabs>
              <w:spacing w:before="120" w:after="120" w:line="240" w:lineRule="auto"/>
              <w:rPr>
                <w:rFonts w:ascii="Franklin Gothic Book" w:hAnsi="Franklin Gothic Book"/>
                <w:b/>
                <w:bCs/>
                <w:iCs/>
                <w:szCs w:val="20"/>
              </w:rPr>
            </w:pPr>
            <w:r w:rsidRPr="0025578F">
              <w:rPr>
                <w:rFonts w:ascii="Franklin Gothic Book" w:hAnsi="Franklin Gothic Book"/>
                <w:bCs/>
                <w:iCs/>
                <w:color w:val="4F81BD" w:themeColor="accent1"/>
                <w:szCs w:val="20"/>
              </w:rPr>
              <w:t>(</w:t>
            </w:r>
            <w:r>
              <w:rPr>
                <w:rFonts w:ascii="Franklin Gothic Book" w:hAnsi="Franklin Gothic Book"/>
                <w:bCs/>
                <w:iCs/>
                <w:color w:val="4F81BD" w:themeColor="accent1"/>
                <w:szCs w:val="20"/>
              </w:rPr>
              <w:t>2</w:t>
            </w:r>
            <w:r w:rsidRPr="0025578F">
              <w:rPr>
                <w:rFonts w:ascii="Franklin Gothic Book" w:hAnsi="Franklin Gothic Book"/>
                <w:bCs/>
                <w:iCs/>
                <w:color w:val="4F81BD" w:themeColor="accent1"/>
                <w:szCs w:val="20"/>
              </w:rPr>
              <w:t xml:space="preserve">) </w:t>
            </w:r>
            <w:r>
              <w:rPr>
                <w:rFonts w:ascii="Franklin Gothic Book" w:hAnsi="Franklin Gothic Book"/>
                <w:bCs/>
                <w:iCs/>
                <w:color w:val="4F81BD" w:themeColor="accent1"/>
                <w:szCs w:val="20"/>
              </w:rPr>
              <w:t xml:space="preserve">An Official </w:t>
            </w:r>
            <w:r w:rsidRPr="0025578F">
              <w:rPr>
                <w:rFonts w:ascii="Franklin Gothic Book" w:hAnsi="Franklin Gothic Book"/>
                <w:bCs/>
                <w:iCs/>
                <w:color w:val="4F81BD" w:themeColor="accent1"/>
                <w:szCs w:val="20"/>
              </w:rPr>
              <w:t xml:space="preserve">Declaration </w:t>
            </w:r>
            <w:r>
              <w:rPr>
                <w:rFonts w:ascii="Franklin Gothic Book" w:hAnsi="Franklin Gothic Book"/>
                <w:bCs/>
                <w:iCs/>
                <w:color w:val="4F81BD" w:themeColor="accent1"/>
                <w:szCs w:val="20"/>
              </w:rPr>
              <w:t xml:space="preserve">Letter </w:t>
            </w:r>
            <w:r w:rsidR="00EE3F74">
              <w:rPr>
                <w:rFonts w:ascii="Franklin Gothic Book" w:hAnsi="Franklin Gothic Book"/>
                <w:bCs/>
                <w:iCs/>
                <w:color w:val="4F81BD" w:themeColor="accent1"/>
                <w:szCs w:val="20"/>
              </w:rPr>
              <w:t xml:space="preserve">dated 21 April 2022 </w:t>
            </w:r>
            <w:r w:rsidRPr="0025578F">
              <w:rPr>
                <w:rFonts w:ascii="Franklin Gothic Book" w:hAnsi="Franklin Gothic Book"/>
                <w:bCs/>
                <w:iCs/>
                <w:color w:val="4F81BD" w:themeColor="accent1"/>
                <w:szCs w:val="20"/>
              </w:rPr>
              <w:t>from PP with justification of Gold Standard involvement</w:t>
            </w:r>
            <w:r>
              <w:rPr>
                <w:rFonts w:ascii="Franklin Gothic Book" w:hAnsi="Franklin Gothic Book"/>
                <w:bCs/>
                <w:iCs/>
                <w:color w:val="4F81BD" w:themeColor="accent1"/>
                <w:szCs w:val="20"/>
              </w:rPr>
              <w:t>.</w:t>
            </w:r>
          </w:p>
        </w:tc>
      </w:tr>
      <w:tr w:rsidR="00620C29" w:rsidRPr="00E712AF" w14:paraId="452DEB79" w14:textId="77777777" w:rsidTr="00620C29">
        <w:tc>
          <w:tcPr>
            <w:tcW w:w="8882" w:type="dxa"/>
            <w:tcBorders>
              <w:top w:val="single" w:sz="4" w:space="0" w:color="FFFFFF" w:themeColor="background1"/>
              <w:bottom w:val="single" w:sz="4" w:space="0" w:color="FFFFFF" w:themeColor="background1"/>
            </w:tcBorders>
            <w:shd w:val="clear" w:color="auto" w:fill="F2F2F2"/>
          </w:tcPr>
          <w:p w14:paraId="452DEB77" w14:textId="77777777" w:rsidR="00AF1B96" w:rsidRDefault="00AF1B96" w:rsidP="00AF1B96">
            <w:pPr>
              <w:widowControl w:val="0"/>
              <w:tabs>
                <w:tab w:val="left" w:pos="2580"/>
              </w:tabs>
              <w:spacing w:before="120" w:after="120" w:line="240" w:lineRule="auto"/>
              <w:rPr>
                <w:rFonts w:ascii="Franklin Gothic Book" w:hAnsi="Franklin Gothic Book"/>
                <w:b/>
                <w:bCs/>
                <w:iCs/>
                <w:szCs w:val="20"/>
              </w:rPr>
            </w:pPr>
            <w:r w:rsidRPr="00286ADB">
              <w:rPr>
                <w:rFonts w:ascii="Franklin Gothic Book" w:hAnsi="Franklin Gothic Book"/>
                <w:b/>
                <w:bCs/>
                <w:iCs/>
                <w:szCs w:val="20"/>
              </w:rPr>
              <w:t>VVB Response:</w:t>
            </w:r>
          </w:p>
          <w:p w14:paraId="452DEB78" w14:textId="77777777" w:rsidR="00620C29" w:rsidRPr="00257CA5" w:rsidRDefault="00AF1B96" w:rsidP="004132ED">
            <w:pPr>
              <w:widowControl w:val="0"/>
              <w:tabs>
                <w:tab w:val="left" w:pos="2580"/>
              </w:tabs>
              <w:spacing w:before="120" w:after="120" w:line="240" w:lineRule="auto"/>
              <w:jc w:val="both"/>
              <w:rPr>
                <w:rFonts w:ascii="Franklin Gothic Book" w:hAnsi="Franklin Gothic Book"/>
                <w:iCs/>
                <w:szCs w:val="20"/>
              </w:rPr>
            </w:pPr>
            <w:r>
              <w:rPr>
                <w:rFonts w:ascii="Franklin Gothic Book" w:hAnsi="Franklin Gothic Book"/>
                <w:iCs/>
                <w:szCs w:val="20"/>
              </w:rPr>
              <w:t xml:space="preserve">The PP has submitted the revised MR. The section </w:t>
            </w:r>
            <w:r w:rsidR="00453549">
              <w:rPr>
                <w:rFonts w:ascii="Franklin Gothic Book" w:hAnsi="Franklin Gothic Book"/>
                <w:iCs/>
                <w:szCs w:val="20"/>
              </w:rPr>
              <w:t xml:space="preserve">1.9, 1.10 and 1.11 </w:t>
            </w:r>
            <w:r>
              <w:rPr>
                <w:rFonts w:ascii="Franklin Gothic Book" w:hAnsi="Franklin Gothic Book"/>
                <w:iCs/>
                <w:szCs w:val="20"/>
              </w:rPr>
              <w:t>of the revised MR</w:t>
            </w:r>
            <w:r w:rsidR="00453549">
              <w:rPr>
                <w:rFonts w:ascii="Franklin Gothic Book" w:hAnsi="Franklin Gothic Book"/>
                <w:iCs/>
                <w:szCs w:val="20"/>
              </w:rPr>
              <w:t xml:space="preserve"> has been revised. </w:t>
            </w:r>
            <w:r>
              <w:rPr>
                <w:rFonts w:ascii="Franklin Gothic Book" w:hAnsi="Franklin Gothic Book"/>
                <w:iCs/>
                <w:szCs w:val="20"/>
              </w:rPr>
              <w:t>PP has applied to GS and there is no further development as P</w:t>
            </w:r>
            <w:r>
              <w:t xml:space="preserve">roject is not valid or involved under any other GHG Program, The project is only registered with VCS only. The PP has </w:t>
            </w:r>
            <w:r>
              <w:lastRenderedPageBreak/>
              <w:t xml:space="preserve">submitted the declaration for the same. FVR has been modified for better transparency on this matter. Please refer further revision in section 3.1. </w:t>
            </w:r>
            <w:r w:rsidR="004132ED">
              <w:t>The VVB team identifies that for the project currently SDG Reporting is not mandatory (as also further clarified by PP in above response); however PP has voluntarily claimed some SDGs and a separate SDGC Report is submitted to VERRA. During the revision of the MR PP has updated the section 1.11 with the similar information. Therefore, considering the provision of the VCS Standard v4.2 for projects registered before 20/01/2023, VVB does not consider detailed assessment of the SDG claims.</w:t>
            </w:r>
          </w:p>
        </w:tc>
      </w:tr>
      <w:tr w:rsidR="00EE27BB" w:rsidRPr="00E712AF" w14:paraId="452DEB7C" w14:textId="77777777" w:rsidTr="00620C29">
        <w:tc>
          <w:tcPr>
            <w:tcW w:w="8882" w:type="dxa"/>
            <w:tcBorders>
              <w:top w:val="single" w:sz="4" w:space="0" w:color="FFFFFF" w:themeColor="background1"/>
            </w:tcBorders>
            <w:shd w:val="clear" w:color="auto" w:fill="F2F2F2"/>
          </w:tcPr>
          <w:p w14:paraId="452DEB7A" w14:textId="77777777" w:rsidR="00D144C5" w:rsidRPr="00286ADB" w:rsidRDefault="00077679" w:rsidP="00286ADB">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286ADB">
              <w:rPr>
                <w:rFonts w:ascii="Franklin Gothic Book" w:hAnsi="Franklin Gothic Book" w:cs="Times New Roman"/>
                <w:bCs w:val="0"/>
                <w:iCs w:val="0"/>
                <w:color w:val="auto"/>
                <w:sz w:val="20"/>
                <w:szCs w:val="20"/>
              </w:rPr>
              <w:lastRenderedPageBreak/>
              <w:t>V</w:t>
            </w:r>
            <w:r w:rsidR="002C0756" w:rsidRPr="00286ADB">
              <w:rPr>
                <w:rFonts w:ascii="Franklin Gothic Book" w:hAnsi="Franklin Gothic Book" w:cs="Times New Roman"/>
                <w:bCs w:val="0"/>
                <w:iCs w:val="0"/>
                <w:color w:val="auto"/>
                <w:sz w:val="20"/>
                <w:szCs w:val="20"/>
              </w:rPr>
              <w:t>erra</w:t>
            </w:r>
            <w:r w:rsidR="00EE27BB" w:rsidRPr="00286ADB">
              <w:rPr>
                <w:rFonts w:ascii="Franklin Gothic Book" w:hAnsi="Franklin Gothic Book" w:cs="Times New Roman"/>
                <w:bCs w:val="0"/>
                <w:iCs w:val="0"/>
                <w:color w:val="auto"/>
                <w:sz w:val="20"/>
                <w:szCs w:val="20"/>
              </w:rPr>
              <w:t xml:space="preserve"> Response: </w:t>
            </w:r>
          </w:p>
          <w:p w14:paraId="452DEB7B" w14:textId="468303C5" w:rsidR="00286ADB" w:rsidRPr="001F0FAE" w:rsidRDefault="00945B4D" w:rsidP="00286ADB">
            <w:pPr>
              <w:spacing w:before="120" w:after="120" w:line="240" w:lineRule="auto"/>
              <w:rPr>
                <w:rFonts w:ascii="Franklin Gothic Book" w:hAnsi="Franklin Gothic Book"/>
                <w:szCs w:val="20"/>
              </w:rPr>
            </w:pPr>
            <w:r>
              <w:rPr>
                <w:rFonts w:ascii="Franklin Gothic Book" w:hAnsi="Franklin Gothic Book"/>
                <w:szCs w:val="20"/>
              </w:rPr>
              <w:t xml:space="preserve">The project proponent has updated Section 1.9 of the monitoring report to clarify that the project is no longer seeking certification under Gold Standard and </w:t>
            </w:r>
            <w:r w:rsidR="00FE53C6">
              <w:rPr>
                <w:rFonts w:ascii="Franklin Gothic Book" w:hAnsi="Franklin Gothic Book"/>
                <w:szCs w:val="20"/>
              </w:rPr>
              <w:t xml:space="preserve">never issued any credits under another program, therefore </w:t>
            </w:r>
            <w:r>
              <w:rPr>
                <w:rFonts w:ascii="Franklin Gothic Book" w:hAnsi="Franklin Gothic Book"/>
                <w:szCs w:val="20"/>
              </w:rPr>
              <w:t xml:space="preserve">there is no risk of </w:t>
            </w:r>
            <w:r w:rsidR="00FE53C6">
              <w:rPr>
                <w:rFonts w:ascii="Franklin Gothic Book" w:hAnsi="Franklin Gothic Book"/>
                <w:szCs w:val="20"/>
              </w:rPr>
              <w:t xml:space="preserve">double counting. This change is sufficient to close the finding, no further response is required. </w:t>
            </w:r>
          </w:p>
        </w:tc>
      </w:tr>
    </w:tbl>
    <w:p w14:paraId="452DEB7D" w14:textId="77777777" w:rsidR="00A632EF" w:rsidRDefault="00A632EF"/>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33417C" w:rsidRPr="00620C29" w14:paraId="452DEB7F" w14:textId="77777777" w:rsidTr="009368EB">
        <w:trPr>
          <w:trHeight w:val="404"/>
        </w:trPr>
        <w:tc>
          <w:tcPr>
            <w:tcW w:w="8882" w:type="dxa"/>
            <w:tcBorders>
              <w:bottom w:val="single" w:sz="4" w:space="0" w:color="FFFFFF" w:themeColor="background1"/>
            </w:tcBorders>
            <w:shd w:val="clear" w:color="auto" w:fill="2B3A57"/>
          </w:tcPr>
          <w:p w14:paraId="452DEB7E" w14:textId="77777777" w:rsidR="0033417C" w:rsidRPr="00620C29" w:rsidRDefault="0033417C" w:rsidP="009368EB">
            <w:pPr>
              <w:widowControl w:val="0"/>
              <w:spacing w:before="120" w:after="120" w:line="240" w:lineRule="auto"/>
              <w:rPr>
                <w:rFonts w:ascii="Franklin Gothic Book" w:hAnsi="Franklin Gothic Book"/>
                <w:b/>
                <w:iCs/>
                <w:szCs w:val="20"/>
              </w:rPr>
            </w:pPr>
            <w:r w:rsidRPr="00286ADB">
              <w:rPr>
                <w:rStyle w:val="SubtleEmphasis"/>
                <w:rFonts w:ascii="Franklin Gothic Book" w:hAnsi="Franklin Gothic Book"/>
                <w:b/>
                <w:i w:val="0"/>
                <w:color w:val="auto"/>
                <w:szCs w:val="20"/>
              </w:rPr>
              <w:t xml:space="preserve">Finding </w:t>
            </w:r>
            <w:r>
              <w:rPr>
                <w:rStyle w:val="SubtleEmphasis"/>
                <w:rFonts w:ascii="Franklin Gothic Book" w:hAnsi="Franklin Gothic Book"/>
                <w:b/>
                <w:i w:val="0"/>
                <w:color w:val="auto"/>
                <w:szCs w:val="20"/>
              </w:rPr>
              <w:t>2</w:t>
            </w:r>
          </w:p>
        </w:tc>
      </w:tr>
      <w:tr w:rsidR="00620C29" w:rsidRPr="00E712AF" w14:paraId="452DEB83" w14:textId="77777777" w:rsidTr="009368EB">
        <w:tc>
          <w:tcPr>
            <w:tcW w:w="8882" w:type="dxa"/>
            <w:tcBorders>
              <w:top w:val="single" w:sz="4" w:space="0" w:color="FFFFFF" w:themeColor="background1"/>
              <w:bottom w:val="single" w:sz="4" w:space="0" w:color="FFFFFF" w:themeColor="background1"/>
            </w:tcBorders>
            <w:shd w:val="clear" w:color="auto" w:fill="F2F2F2"/>
          </w:tcPr>
          <w:p w14:paraId="452DEB80" w14:textId="77777777" w:rsidR="0047352F" w:rsidRDefault="00CA25E4" w:rsidP="009368EB">
            <w:pPr>
              <w:widowControl w:val="0"/>
              <w:tabs>
                <w:tab w:val="left" w:pos="2580"/>
              </w:tabs>
              <w:spacing w:before="120" w:after="120" w:line="240" w:lineRule="auto"/>
              <w:rPr>
                <w:rFonts w:ascii="Franklin Gothic Book" w:hAnsi="Franklin Gothic Book"/>
                <w:bCs/>
                <w:iCs/>
                <w:szCs w:val="20"/>
                <w:lang w:val="en-US"/>
              </w:rPr>
            </w:pPr>
            <w:r>
              <w:rPr>
                <w:rFonts w:ascii="Franklin Gothic Book" w:hAnsi="Franklin Gothic Book"/>
                <w:bCs/>
                <w:iCs/>
                <w:szCs w:val="20"/>
                <w:lang w:val="en-US"/>
              </w:rPr>
              <w:t>Section 3.</w:t>
            </w:r>
            <w:r w:rsidR="006F305B">
              <w:rPr>
                <w:rFonts w:ascii="Franklin Gothic Book" w:hAnsi="Franklin Gothic Book"/>
                <w:bCs/>
                <w:iCs/>
                <w:szCs w:val="20"/>
                <w:lang w:val="en-US"/>
              </w:rPr>
              <w:t>13</w:t>
            </w:r>
            <w:r>
              <w:rPr>
                <w:rFonts w:ascii="Franklin Gothic Book" w:hAnsi="Franklin Gothic Book"/>
                <w:bCs/>
                <w:iCs/>
                <w:szCs w:val="20"/>
                <w:lang w:val="en-US"/>
              </w:rPr>
              <w:t xml:space="preserve"> of the </w:t>
            </w:r>
            <w:r>
              <w:rPr>
                <w:rFonts w:ascii="Franklin Gothic Book" w:hAnsi="Franklin Gothic Book"/>
                <w:bCs/>
                <w:i/>
                <w:szCs w:val="20"/>
                <w:lang w:val="en-US"/>
              </w:rPr>
              <w:t xml:space="preserve">VCS Standard v4.2 </w:t>
            </w:r>
            <w:r>
              <w:rPr>
                <w:rFonts w:ascii="Franklin Gothic Book" w:hAnsi="Franklin Gothic Book"/>
                <w:bCs/>
                <w:iCs/>
                <w:szCs w:val="20"/>
                <w:lang w:val="en-US"/>
              </w:rPr>
              <w:t xml:space="preserve">states that </w:t>
            </w:r>
            <w:r>
              <w:rPr>
                <w:rFonts w:ascii="Franklin Gothic Book" w:hAnsi="Franklin Gothic Book"/>
                <w:bCs/>
                <w:iCs/>
                <w:szCs w:val="20"/>
              </w:rPr>
              <w:t>“</w:t>
            </w:r>
            <w:r w:rsidRPr="00CA25E4">
              <w:rPr>
                <w:rFonts w:ascii="Franklin Gothic Book" w:hAnsi="Franklin Gothic Book"/>
                <w:bCs/>
                <w:iCs/>
                <w:szCs w:val="20"/>
              </w:rPr>
              <w:t>A project activity is additional if it can be demonstrated that the activity results in emission reductions or removals that are in excess of what would be achieved under a “business as usual” scenario and the activity would not have occurred in the absence of the incentive provided by the carbon markets.</w:t>
            </w:r>
            <w:r>
              <w:rPr>
                <w:rFonts w:ascii="Franklin Gothic Book" w:hAnsi="Franklin Gothic Book"/>
                <w:bCs/>
                <w:iCs/>
                <w:szCs w:val="20"/>
              </w:rPr>
              <w:t>”</w:t>
            </w:r>
          </w:p>
          <w:p w14:paraId="452DEB81" w14:textId="77777777" w:rsidR="00620C29" w:rsidRDefault="001D6928" w:rsidP="009368EB">
            <w:pPr>
              <w:widowControl w:val="0"/>
              <w:tabs>
                <w:tab w:val="left" w:pos="2580"/>
              </w:tabs>
              <w:spacing w:before="120" w:after="120" w:line="240" w:lineRule="auto"/>
              <w:rPr>
                <w:rFonts w:ascii="Franklin Gothic Book" w:hAnsi="Franklin Gothic Book"/>
                <w:bCs/>
                <w:iCs/>
                <w:szCs w:val="20"/>
                <w:lang w:val="en-US"/>
              </w:rPr>
            </w:pPr>
            <w:r w:rsidRPr="001D6928">
              <w:rPr>
                <w:rFonts w:ascii="Franklin Gothic Book" w:hAnsi="Franklin Gothic Book"/>
                <w:bCs/>
                <w:iCs/>
                <w:szCs w:val="20"/>
                <w:lang w:val="en-US"/>
              </w:rPr>
              <w:t>Given th</w:t>
            </w:r>
            <w:r w:rsidR="005463D8">
              <w:rPr>
                <w:rFonts w:ascii="Franklin Gothic Book" w:hAnsi="Franklin Gothic Book"/>
                <w:bCs/>
                <w:iCs/>
                <w:szCs w:val="20"/>
                <w:lang w:val="en-US"/>
              </w:rPr>
              <w:t>at the project</w:t>
            </w:r>
            <w:r w:rsidR="00CB270F">
              <w:rPr>
                <w:rFonts w:ascii="Franklin Gothic Book" w:hAnsi="Franklin Gothic Book"/>
                <w:bCs/>
                <w:iCs/>
                <w:szCs w:val="20"/>
                <w:lang w:val="en-US"/>
              </w:rPr>
              <w:t xml:space="preserve">’s ERRs are significantly higher than estimated, </w:t>
            </w:r>
            <w:r w:rsidR="005463D8">
              <w:rPr>
                <w:rFonts w:ascii="Franklin Gothic Book" w:hAnsi="Franklin Gothic Book"/>
                <w:bCs/>
                <w:iCs/>
                <w:szCs w:val="20"/>
                <w:lang w:val="en-US"/>
              </w:rPr>
              <w:t xml:space="preserve">it needs to be determined that </w:t>
            </w:r>
            <w:r w:rsidR="00CB270F">
              <w:rPr>
                <w:rFonts w:ascii="Franklin Gothic Book" w:hAnsi="Franklin Gothic Book"/>
                <w:bCs/>
                <w:iCs/>
                <w:szCs w:val="20"/>
                <w:lang w:val="en-US"/>
              </w:rPr>
              <w:t xml:space="preserve">this fluctuation </w:t>
            </w:r>
            <w:r w:rsidR="00531DA9">
              <w:rPr>
                <w:rFonts w:ascii="Franklin Gothic Book" w:hAnsi="Franklin Gothic Book"/>
                <w:bCs/>
                <w:iCs/>
                <w:szCs w:val="20"/>
                <w:lang w:val="en-US"/>
              </w:rPr>
              <w:t xml:space="preserve">can be attributed to </w:t>
            </w:r>
            <w:r w:rsidR="00F23059">
              <w:rPr>
                <w:rFonts w:ascii="Franklin Gothic Book" w:hAnsi="Franklin Gothic Book"/>
                <w:bCs/>
                <w:iCs/>
                <w:szCs w:val="20"/>
                <w:lang w:val="en-US"/>
              </w:rPr>
              <w:t>natural conditions</w:t>
            </w:r>
            <w:r w:rsidR="00D4157A">
              <w:rPr>
                <w:rFonts w:ascii="Franklin Gothic Book" w:hAnsi="Franklin Gothic Book"/>
                <w:bCs/>
                <w:iCs/>
                <w:szCs w:val="20"/>
                <w:lang w:val="en-US"/>
              </w:rPr>
              <w:t xml:space="preserve"> as stated in Section </w:t>
            </w:r>
            <w:r w:rsidR="00CB0479">
              <w:rPr>
                <w:rFonts w:ascii="Franklin Gothic Book" w:hAnsi="Franklin Gothic Book"/>
                <w:bCs/>
                <w:iCs/>
                <w:szCs w:val="20"/>
                <w:lang w:val="en-US"/>
              </w:rPr>
              <w:t>5.4 of the project description.</w:t>
            </w:r>
          </w:p>
          <w:p w14:paraId="452DEB82" w14:textId="77777777" w:rsidR="0047352F" w:rsidRPr="00286ADB" w:rsidRDefault="0047352F" w:rsidP="009368EB">
            <w:pPr>
              <w:widowControl w:val="0"/>
              <w:tabs>
                <w:tab w:val="left" w:pos="2580"/>
              </w:tabs>
              <w:spacing w:before="120" w:after="120" w:line="240" w:lineRule="auto"/>
              <w:rPr>
                <w:rFonts w:ascii="Franklin Gothic Book" w:hAnsi="Franklin Gothic Book"/>
                <w:b/>
                <w:bCs/>
                <w:iCs/>
                <w:szCs w:val="20"/>
              </w:rPr>
            </w:pPr>
            <w:r>
              <w:rPr>
                <w:rFonts w:ascii="Franklin Gothic Book" w:hAnsi="Franklin Gothic Book"/>
                <w:bCs/>
                <w:iCs/>
                <w:szCs w:val="20"/>
              </w:rPr>
              <w:t>The VVB is requested to provide a spreadsheet with estimated and achieved ERRs throughout the project’s crediting period.</w:t>
            </w:r>
          </w:p>
        </w:tc>
      </w:tr>
      <w:tr w:rsidR="003C5A2F" w:rsidRPr="00E712AF" w14:paraId="452DEB85" w14:textId="77777777" w:rsidTr="009368EB">
        <w:tc>
          <w:tcPr>
            <w:tcW w:w="8882" w:type="dxa"/>
            <w:tcBorders>
              <w:top w:val="single" w:sz="4" w:space="0" w:color="FFFFFF" w:themeColor="background1"/>
              <w:bottom w:val="single" w:sz="4" w:space="0" w:color="FFFFFF" w:themeColor="background1"/>
            </w:tcBorders>
            <w:shd w:val="clear" w:color="auto" w:fill="F2F2F2"/>
          </w:tcPr>
          <w:p w14:paraId="452DEB84" w14:textId="77777777" w:rsidR="00613543" w:rsidRPr="00613543" w:rsidRDefault="00FD0E26" w:rsidP="00B66098">
            <w:pPr>
              <w:spacing w:after="0" w:line="240" w:lineRule="auto"/>
              <w:jc w:val="both"/>
              <w:rPr>
                <w:rFonts w:ascii="Franklin Gothic Book" w:hAnsi="Franklin Gothic Book"/>
                <w:bCs/>
                <w:iCs/>
                <w:color w:val="4F81BD" w:themeColor="accent1"/>
                <w:szCs w:val="20"/>
                <w:lang w:val="en-US"/>
              </w:rPr>
            </w:pPr>
            <w:r w:rsidRPr="0025578F">
              <w:rPr>
                <w:rFonts w:ascii="Franklin Gothic Book" w:hAnsi="Franklin Gothic Book"/>
                <w:b/>
                <w:bCs/>
                <w:iCs/>
                <w:color w:val="4F81BD" w:themeColor="accent1"/>
                <w:szCs w:val="20"/>
              </w:rPr>
              <w:t>PP Response</w:t>
            </w:r>
            <w:r>
              <w:rPr>
                <w:rFonts w:ascii="Franklin Gothic Book" w:hAnsi="Franklin Gothic Book"/>
                <w:b/>
                <w:bCs/>
                <w:iCs/>
                <w:color w:val="4F81BD" w:themeColor="accent1"/>
                <w:szCs w:val="20"/>
              </w:rPr>
              <w:t>: Not Applicable</w:t>
            </w:r>
          </w:p>
        </w:tc>
      </w:tr>
      <w:tr w:rsidR="00620C29" w:rsidRPr="00E712AF" w14:paraId="452DEB9E" w14:textId="77777777" w:rsidTr="009368EB">
        <w:tc>
          <w:tcPr>
            <w:tcW w:w="8882" w:type="dxa"/>
            <w:tcBorders>
              <w:top w:val="single" w:sz="4" w:space="0" w:color="FFFFFF" w:themeColor="background1"/>
              <w:bottom w:val="single" w:sz="4" w:space="0" w:color="FFFFFF" w:themeColor="background1"/>
            </w:tcBorders>
            <w:shd w:val="clear" w:color="auto" w:fill="F2F2F2"/>
          </w:tcPr>
          <w:p w14:paraId="452DEB86" w14:textId="77777777" w:rsidR="00620C29" w:rsidRDefault="00620C29" w:rsidP="009368EB">
            <w:pPr>
              <w:widowControl w:val="0"/>
              <w:tabs>
                <w:tab w:val="left" w:pos="2580"/>
              </w:tabs>
              <w:spacing w:before="120" w:after="120" w:line="240" w:lineRule="auto"/>
              <w:rPr>
                <w:rFonts w:ascii="Franklin Gothic Book" w:hAnsi="Franklin Gothic Book"/>
                <w:b/>
                <w:bCs/>
                <w:iCs/>
                <w:szCs w:val="20"/>
              </w:rPr>
            </w:pPr>
            <w:r w:rsidRPr="00286ADB">
              <w:rPr>
                <w:rFonts w:ascii="Franklin Gothic Book" w:hAnsi="Franklin Gothic Book"/>
                <w:b/>
                <w:bCs/>
                <w:iCs/>
                <w:szCs w:val="20"/>
              </w:rPr>
              <w:t>VVB Response:</w:t>
            </w:r>
          </w:p>
          <w:p w14:paraId="452DEB87" w14:textId="77777777" w:rsidR="00FD0E26" w:rsidRDefault="00FD0E26" w:rsidP="00117083">
            <w:pPr>
              <w:widowControl w:val="0"/>
              <w:tabs>
                <w:tab w:val="left" w:pos="2580"/>
              </w:tabs>
              <w:spacing w:before="120" w:after="120" w:line="240" w:lineRule="auto"/>
              <w:rPr>
                <w:rFonts w:ascii="Franklin Gothic Book" w:hAnsi="Franklin Gothic Book"/>
                <w:iCs/>
                <w:szCs w:val="20"/>
              </w:rPr>
            </w:pPr>
            <w:r>
              <w:rPr>
                <w:rFonts w:ascii="Franklin Gothic Book" w:hAnsi="Franklin Gothic Book"/>
                <w:iCs/>
                <w:szCs w:val="20"/>
              </w:rPr>
              <w:t>Following table provided the details about Estimated and achieved ERRs throughout the completed project’s crediting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974"/>
              <w:gridCol w:w="1334"/>
              <w:gridCol w:w="1203"/>
              <w:gridCol w:w="1920"/>
            </w:tblGrid>
            <w:tr w:rsidR="00257BA0" w:rsidRPr="00FD0E26" w14:paraId="452DEB8E" w14:textId="77777777" w:rsidTr="00FD0E26">
              <w:trPr>
                <w:trHeight w:val="782"/>
              </w:trPr>
              <w:tc>
                <w:tcPr>
                  <w:tcW w:w="1976" w:type="pct"/>
                  <w:vMerge w:val="restart"/>
                  <w:shd w:val="clear" w:color="auto" w:fill="auto"/>
                  <w:hideMark/>
                </w:tcPr>
                <w:p w14:paraId="452DEB88" w14:textId="77777777" w:rsidR="00FD0E26" w:rsidRDefault="00FD0E26" w:rsidP="00FD0E26">
                  <w:pPr>
                    <w:spacing w:after="0" w:line="240" w:lineRule="auto"/>
                    <w:jc w:val="center"/>
                    <w:rPr>
                      <w:rFonts w:eastAsia="Times New Roman" w:cs="Arial"/>
                      <w:color w:val="000000"/>
                      <w:sz w:val="18"/>
                      <w:szCs w:val="18"/>
                      <w:lang w:val="en-IN" w:bidi="hi-IN"/>
                    </w:rPr>
                  </w:pPr>
                  <w:r w:rsidRPr="00FD0E26">
                    <w:rPr>
                      <w:rFonts w:eastAsia="Times New Roman" w:cs="Arial"/>
                      <w:color w:val="000000"/>
                      <w:sz w:val="18"/>
                      <w:szCs w:val="18"/>
                      <w:lang w:val="en-IN" w:bidi="hi-IN"/>
                    </w:rPr>
                    <w:t>Actual monitoring period</w:t>
                  </w:r>
                </w:p>
                <w:p w14:paraId="452DEB89" w14:textId="77777777" w:rsidR="00257BA0" w:rsidRPr="00FD0E26" w:rsidRDefault="00257BA0" w:rsidP="00FD0E26">
                  <w:pPr>
                    <w:spacing w:after="0" w:line="240" w:lineRule="auto"/>
                    <w:jc w:val="center"/>
                    <w:rPr>
                      <w:rFonts w:eastAsia="Times New Roman" w:cs="Arial"/>
                      <w:color w:val="000000"/>
                      <w:sz w:val="18"/>
                      <w:szCs w:val="18"/>
                      <w:lang w:val="en-US" w:bidi="hi-IN"/>
                    </w:rPr>
                  </w:pPr>
                  <w:r>
                    <w:rPr>
                      <w:rFonts w:eastAsia="Times New Roman" w:cs="Arial"/>
                      <w:color w:val="000000"/>
                      <w:sz w:val="18"/>
                      <w:szCs w:val="18"/>
                      <w:lang w:val="en-IN" w:bidi="hi-IN"/>
                    </w:rPr>
                    <w:t>(</w:t>
                  </w:r>
                  <w:r>
                    <w:rPr>
                      <w:rFonts w:ascii="Franklin Gothic Book" w:hAnsi="Franklin Gothic Book"/>
                      <w:iCs/>
                      <w:szCs w:val="20"/>
                    </w:rPr>
                    <w:t>completed project’s crediting period)</w:t>
                  </w:r>
                </w:p>
              </w:tc>
              <w:tc>
                <w:tcPr>
                  <w:tcW w:w="676" w:type="pct"/>
                  <w:shd w:val="clear" w:color="auto" w:fill="auto"/>
                  <w:hideMark/>
                </w:tcPr>
                <w:p w14:paraId="452DEB8A" w14:textId="77777777" w:rsidR="00FD0E26" w:rsidRPr="00FD0E26" w:rsidRDefault="00FD0E26" w:rsidP="00FD0E26">
                  <w:pPr>
                    <w:spacing w:after="0" w:line="240" w:lineRule="auto"/>
                    <w:jc w:val="center"/>
                    <w:rPr>
                      <w:rFonts w:eastAsia="Times New Roman" w:cs="Arial"/>
                      <w:color w:val="000000"/>
                      <w:sz w:val="18"/>
                      <w:szCs w:val="18"/>
                      <w:lang w:val="en-US" w:bidi="hi-IN"/>
                    </w:rPr>
                  </w:pPr>
                  <w:r w:rsidRPr="00FD0E26">
                    <w:rPr>
                      <w:rFonts w:eastAsia="Times New Roman" w:cs="Arial"/>
                      <w:color w:val="000000"/>
                      <w:sz w:val="18"/>
                      <w:szCs w:val="18"/>
                      <w:lang w:val="en-IN" w:bidi="hi-IN"/>
                    </w:rPr>
                    <w:t xml:space="preserve">Total days </w:t>
                  </w:r>
                </w:p>
              </w:tc>
              <w:tc>
                <w:tcPr>
                  <w:tcW w:w="884" w:type="pct"/>
                  <w:shd w:val="clear" w:color="auto" w:fill="auto"/>
                  <w:hideMark/>
                </w:tcPr>
                <w:p w14:paraId="452DEB8B" w14:textId="77777777" w:rsidR="00FD0E26" w:rsidRPr="00FD0E26" w:rsidRDefault="00FD0E26" w:rsidP="00FD0E26">
                  <w:pPr>
                    <w:spacing w:after="0" w:line="240" w:lineRule="auto"/>
                    <w:jc w:val="center"/>
                    <w:rPr>
                      <w:rFonts w:eastAsia="Times New Roman" w:cs="Arial"/>
                      <w:color w:val="000000"/>
                      <w:sz w:val="18"/>
                      <w:szCs w:val="18"/>
                      <w:lang w:val="en-US" w:bidi="hi-IN"/>
                    </w:rPr>
                  </w:pPr>
                  <w:r w:rsidRPr="00FD0E26">
                    <w:rPr>
                      <w:rFonts w:eastAsia="Times New Roman" w:cs="Arial"/>
                      <w:color w:val="000000"/>
                      <w:sz w:val="18"/>
                      <w:szCs w:val="18"/>
                      <w:lang w:val="en-IN" w:bidi="hi-IN"/>
                    </w:rPr>
                    <w:t xml:space="preserve">Estimated emission reduction </w:t>
                  </w:r>
                </w:p>
              </w:tc>
              <w:tc>
                <w:tcPr>
                  <w:tcW w:w="808" w:type="pct"/>
                  <w:shd w:val="clear" w:color="auto" w:fill="auto"/>
                  <w:hideMark/>
                </w:tcPr>
                <w:p w14:paraId="452DEB8C" w14:textId="77777777" w:rsidR="00FD0E26" w:rsidRPr="00FD0E26" w:rsidRDefault="00FD0E26" w:rsidP="00FD0E26">
                  <w:pPr>
                    <w:spacing w:after="0" w:line="240" w:lineRule="auto"/>
                    <w:jc w:val="center"/>
                    <w:rPr>
                      <w:rFonts w:eastAsia="Times New Roman" w:cs="Arial"/>
                      <w:color w:val="000000"/>
                      <w:sz w:val="18"/>
                      <w:szCs w:val="18"/>
                      <w:lang w:val="en-US" w:bidi="hi-IN"/>
                    </w:rPr>
                  </w:pPr>
                  <w:r w:rsidRPr="00FD0E26">
                    <w:rPr>
                      <w:rFonts w:eastAsia="Times New Roman" w:cs="Arial"/>
                      <w:color w:val="000000"/>
                      <w:sz w:val="18"/>
                      <w:szCs w:val="18"/>
                      <w:lang w:val="en-IN" w:bidi="hi-IN"/>
                    </w:rPr>
                    <w:t>Actual Emission Reduction</w:t>
                  </w:r>
                </w:p>
              </w:tc>
              <w:tc>
                <w:tcPr>
                  <w:tcW w:w="657" w:type="pct"/>
                  <w:shd w:val="clear" w:color="auto" w:fill="auto"/>
                  <w:hideMark/>
                </w:tcPr>
                <w:p w14:paraId="452DEB8D" w14:textId="77777777" w:rsidR="00FD0E26" w:rsidRPr="00FD0E26" w:rsidRDefault="00FD0E26" w:rsidP="00FD0E26">
                  <w:pPr>
                    <w:spacing w:after="0" w:line="240" w:lineRule="auto"/>
                    <w:jc w:val="center"/>
                    <w:rPr>
                      <w:rFonts w:eastAsia="Times New Roman" w:cs="Arial"/>
                      <w:color w:val="000000"/>
                      <w:sz w:val="18"/>
                      <w:szCs w:val="18"/>
                      <w:lang w:val="en-US" w:bidi="hi-IN"/>
                    </w:rPr>
                  </w:pPr>
                  <w:r w:rsidRPr="00FD0E26">
                    <w:rPr>
                      <w:rFonts w:eastAsia="Times New Roman" w:cs="Arial"/>
                      <w:color w:val="000000"/>
                      <w:sz w:val="18"/>
                      <w:szCs w:val="18"/>
                      <w:lang w:val="en-US" w:bidi="hi-IN"/>
                    </w:rPr>
                    <w:t>Percentage increase or decrease EERs</w:t>
                  </w:r>
                </w:p>
              </w:tc>
            </w:tr>
            <w:tr w:rsidR="00257BA0" w:rsidRPr="00FD0E26" w14:paraId="452DEB94" w14:textId="77777777" w:rsidTr="00FD0E26">
              <w:trPr>
                <w:trHeight w:val="315"/>
              </w:trPr>
              <w:tc>
                <w:tcPr>
                  <w:tcW w:w="1976" w:type="pct"/>
                  <w:vMerge/>
                  <w:vAlign w:val="center"/>
                  <w:hideMark/>
                </w:tcPr>
                <w:p w14:paraId="452DEB8F" w14:textId="77777777" w:rsidR="00FD0E26" w:rsidRPr="00FD0E26" w:rsidRDefault="00FD0E26" w:rsidP="00FD0E26">
                  <w:pPr>
                    <w:spacing w:after="0" w:line="240" w:lineRule="auto"/>
                    <w:rPr>
                      <w:rFonts w:eastAsia="Times New Roman" w:cs="Arial"/>
                      <w:color w:val="000000"/>
                      <w:sz w:val="18"/>
                      <w:szCs w:val="18"/>
                      <w:lang w:val="en-US" w:bidi="hi-IN"/>
                    </w:rPr>
                  </w:pPr>
                </w:p>
              </w:tc>
              <w:tc>
                <w:tcPr>
                  <w:tcW w:w="676" w:type="pct"/>
                  <w:shd w:val="clear" w:color="auto" w:fill="auto"/>
                  <w:hideMark/>
                </w:tcPr>
                <w:p w14:paraId="452DEB90" w14:textId="77777777" w:rsidR="00FD0E26" w:rsidRPr="00FD0E26" w:rsidRDefault="00FD0E26" w:rsidP="00FD0E26">
                  <w:pPr>
                    <w:spacing w:after="0" w:line="240" w:lineRule="auto"/>
                    <w:jc w:val="center"/>
                    <w:rPr>
                      <w:rFonts w:eastAsia="Times New Roman" w:cs="Arial"/>
                      <w:color w:val="000000"/>
                      <w:sz w:val="18"/>
                      <w:szCs w:val="18"/>
                      <w:lang w:val="en-US" w:bidi="hi-IN"/>
                    </w:rPr>
                  </w:pPr>
                  <w:r w:rsidRPr="00FD0E26">
                    <w:rPr>
                      <w:rFonts w:eastAsia="Times New Roman" w:cs="Arial"/>
                      <w:color w:val="000000"/>
                      <w:sz w:val="18"/>
                      <w:szCs w:val="18"/>
                      <w:lang w:val="en-IN" w:bidi="hi-IN"/>
                    </w:rPr>
                    <w:t>(days)</w:t>
                  </w:r>
                </w:p>
              </w:tc>
              <w:tc>
                <w:tcPr>
                  <w:tcW w:w="884" w:type="pct"/>
                  <w:shd w:val="clear" w:color="auto" w:fill="auto"/>
                  <w:hideMark/>
                </w:tcPr>
                <w:p w14:paraId="452DEB91" w14:textId="77777777" w:rsidR="00FD0E26" w:rsidRPr="00FD0E26" w:rsidRDefault="00FD0E26" w:rsidP="00FD0E26">
                  <w:pPr>
                    <w:spacing w:after="0" w:line="240" w:lineRule="auto"/>
                    <w:jc w:val="center"/>
                    <w:rPr>
                      <w:rFonts w:eastAsia="Times New Roman" w:cs="Arial"/>
                      <w:color w:val="000000"/>
                      <w:sz w:val="18"/>
                      <w:szCs w:val="18"/>
                      <w:lang w:val="en-US" w:bidi="hi-IN"/>
                    </w:rPr>
                  </w:pPr>
                  <w:r w:rsidRPr="00FD0E26">
                    <w:rPr>
                      <w:rFonts w:eastAsia="Times New Roman" w:cs="Arial"/>
                      <w:color w:val="000000"/>
                      <w:sz w:val="18"/>
                      <w:szCs w:val="18"/>
                      <w:lang w:val="en-IN" w:bidi="hi-IN"/>
                    </w:rPr>
                    <w:t>(tCO</w:t>
                  </w:r>
                  <w:r w:rsidRPr="00FD0E26">
                    <w:rPr>
                      <w:rFonts w:eastAsia="Times New Roman" w:cs="Arial"/>
                      <w:color w:val="000000"/>
                      <w:sz w:val="18"/>
                      <w:szCs w:val="18"/>
                      <w:vertAlign w:val="subscript"/>
                      <w:lang w:val="en-IN" w:bidi="hi-IN"/>
                    </w:rPr>
                    <w:t>2</w:t>
                  </w:r>
                  <w:r w:rsidRPr="00FD0E26">
                    <w:rPr>
                      <w:rFonts w:eastAsia="Times New Roman" w:cs="Arial"/>
                      <w:color w:val="000000"/>
                      <w:sz w:val="18"/>
                      <w:szCs w:val="18"/>
                      <w:lang w:val="en-IN" w:bidi="hi-IN"/>
                    </w:rPr>
                    <w:t>)</w:t>
                  </w:r>
                </w:p>
              </w:tc>
              <w:tc>
                <w:tcPr>
                  <w:tcW w:w="808" w:type="pct"/>
                  <w:shd w:val="clear" w:color="auto" w:fill="auto"/>
                  <w:hideMark/>
                </w:tcPr>
                <w:p w14:paraId="452DEB92" w14:textId="77777777" w:rsidR="00FD0E26" w:rsidRPr="00FD0E26" w:rsidRDefault="00FD0E26" w:rsidP="00FD0E26">
                  <w:pPr>
                    <w:spacing w:after="0" w:line="240" w:lineRule="auto"/>
                    <w:jc w:val="center"/>
                    <w:rPr>
                      <w:rFonts w:eastAsia="Times New Roman" w:cs="Arial"/>
                      <w:color w:val="000000"/>
                      <w:sz w:val="18"/>
                      <w:szCs w:val="18"/>
                      <w:lang w:val="en-US" w:bidi="hi-IN"/>
                    </w:rPr>
                  </w:pPr>
                  <w:r w:rsidRPr="00FD0E26">
                    <w:rPr>
                      <w:rFonts w:eastAsia="Times New Roman" w:cs="Arial"/>
                      <w:color w:val="000000"/>
                      <w:sz w:val="18"/>
                      <w:szCs w:val="18"/>
                      <w:lang w:val="en-IN" w:bidi="hi-IN"/>
                    </w:rPr>
                    <w:t>(tCO</w:t>
                  </w:r>
                  <w:r w:rsidRPr="00FD0E26">
                    <w:rPr>
                      <w:rFonts w:eastAsia="Times New Roman" w:cs="Arial"/>
                      <w:color w:val="000000"/>
                      <w:sz w:val="18"/>
                      <w:szCs w:val="18"/>
                      <w:vertAlign w:val="subscript"/>
                      <w:lang w:val="en-IN" w:bidi="hi-IN"/>
                    </w:rPr>
                    <w:t>2</w:t>
                  </w:r>
                  <w:r w:rsidRPr="00FD0E26">
                    <w:rPr>
                      <w:rFonts w:eastAsia="Times New Roman" w:cs="Arial"/>
                      <w:color w:val="000000"/>
                      <w:sz w:val="18"/>
                      <w:szCs w:val="18"/>
                      <w:lang w:val="en-IN" w:bidi="hi-IN"/>
                    </w:rPr>
                    <w:t>)</w:t>
                  </w:r>
                </w:p>
              </w:tc>
              <w:tc>
                <w:tcPr>
                  <w:tcW w:w="657" w:type="pct"/>
                  <w:shd w:val="clear" w:color="auto" w:fill="auto"/>
                  <w:noWrap/>
                  <w:vAlign w:val="bottom"/>
                  <w:hideMark/>
                </w:tcPr>
                <w:p w14:paraId="452DEB93" w14:textId="77777777" w:rsidR="00FD0E26" w:rsidRPr="00FD0E26" w:rsidRDefault="00FD0E26" w:rsidP="00FD0E26">
                  <w:pPr>
                    <w:spacing w:after="0" w:line="240" w:lineRule="auto"/>
                    <w:rPr>
                      <w:rFonts w:ascii="Calibri" w:eastAsia="Times New Roman" w:hAnsi="Calibri" w:cs="Calibri"/>
                      <w:color w:val="000000"/>
                      <w:sz w:val="22"/>
                      <w:szCs w:val="22"/>
                      <w:lang w:val="en-US" w:bidi="hi-IN"/>
                    </w:rPr>
                  </w:pPr>
                  <w:r>
                    <w:rPr>
                      <w:rFonts w:ascii="Calibri" w:eastAsia="Times New Roman" w:hAnsi="Calibri" w:cs="Calibri"/>
                      <w:color w:val="000000"/>
                      <w:sz w:val="22"/>
                      <w:szCs w:val="22"/>
                      <w:lang w:val="en-US" w:bidi="hi-IN"/>
                    </w:rPr>
                    <w:t>(%)</w:t>
                  </w:r>
                </w:p>
              </w:tc>
            </w:tr>
            <w:tr w:rsidR="00257BA0" w:rsidRPr="00FD0E26" w14:paraId="452DEB9A" w14:textId="77777777" w:rsidTr="00FD0E26">
              <w:trPr>
                <w:trHeight w:val="315"/>
              </w:trPr>
              <w:tc>
                <w:tcPr>
                  <w:tcW w:w="1976" w:type="pct"/>
                  <w:vAlign w:val="center"/>
                  <w:hideMark/>
                </w:tcPr>
                <w:p w14:paraId="452DEB95" w14:textId="77777777" w:rsidR="00FD0E26" w:rsidRPr="00FD0E26" w:rsidRDefault="00FD0E26" w:rsidP="00FD0E26">
                  <w:pPr>
                    <w:spacing w:after="0" w:line="240" w:lineRule="auto"/>
                    <w:rPr>
                      <w:rFonts w:eastAsia="Times New Roman" w:cs="Arial"/>
                      <w:color w:val="000000"/>
                      <w:sz w:val="18"/>
                      <w:szCs w:val="18"/>
                      <w:lang w:val="en-US" w:bidi="hi-IN"/>
                    </w:rPr>
                  </w:pPr>
                  <w:r w:rsidRPr="00FD0E26">
                    <w:rPr>
                      <w:rFonts w:eastAsia="Times New Roman" w:cs="Arial"/>
                      <w:color w:val="000000"/>
                      <w:sz w:val="18"/>
                      <w:szCs w:val="18"/>
                      <w:lang w:val="en-US" w:bidi="hi-IN"/>
                    </w:rPr>
                    <w:t>1 November 2018 to 31 August 2021</w:t>
                  </w:r>
                </w:p>
              </w:tc>
              <w:tc>
                <w:tcPr>
                  <w:tcW w:w="676" w:type="pct"/>
                  <w:shd w:val="clear" w:color="auto" w:fill="auto"/>
                  <w:hideMark/>
                </w:tcPr>
                <w:p w14:paraId="452DEB96" w14:textId="77777777" w:rsidR="00FD0E26" w:rsidRPr="00FD0E26" w:rsidRDefault="00FD0E26" w:rsidP="00FD0E26">
                  <w:pPr>
                    <w:spacing w:after="0" w:line="240" w:lineRule="auto"/>
                    <w:jc w:val="center"/>
                    <w:rPr>
                      <w:rFonts w:eastAsia="Times New Roman" w:cs="Arial"/>
                      <w:color w:val="000000"/>
                      <w:sz w:val="18"/>
                      <w:szCs w:val="18"/>
                      <w:lang w:val="en-IN" w:bidi="hi-IN"/>
                    </w:rPr>
                  </w:pPr>
                  <w:r>
                    <w:rPr>
                      <w:rFonts w:eastAsia="Times New Roman" w:cs="Arial"/>
                      <w:color w:val="000000"/>
                      <w:sz w:val="18"/>
                      <w:szCs w:val="18"/>
                      <w:lang w:val="en-IN" w:bidi="hi-IN"/>
                    </w:rPr>
                    <w:t>1035</w:t>
                  </w:r>
                </w:p>
              </w:tc>
              <w:tc>
                <w:tcPr>
                  <w:tcW w:w="884" w:type="pct"/>
                  <w:shd w:val="clear" w:color="auto" w:fill="auto"/>
                  <w:hideMark/>
                </w:tcPr>
                <w:p w14:paraId="452DEB97" w14:textId="77777777" w:rsidR="00FD0E26" w:rsidRPr="00FD0E26" w:rsidRDefault="00FD0E26" w:rsidP="00FD0E26">
                  <w:pPr>
                    <w:spacing w:after="0" w:line="240" w:lineRule="auto"/>
                    <w:jc w:val="center"/>
                    <w:rPr>
                      <w:rFonts w:eastAsia="Times New Roman" w:cs="Arial"/>
                      <w:color w:val="000000"/>
                      <w:sz w:val="18"/>
                      <w:szCs w:val="18"/>
                      <w:lang w:val="en-IN" w:bidi="hi-IN"/>
                    </w:rPr>
                  </w:pPr>
                  <w:r>
                    <w:rPr>
                      <w:rFonts w:eastAsia="Times New Roman" w:cs="Arial"/>
                      <w:color w:val="000000"/>
                      <w:sz w:val="18"/>
                      <w:szCs w:val="18"/>
                      <w:lang w:val="en-IN" w:bidi="hi-IN"/>
                    </w:rPr>
                    <w:t>509,954</w:t>
                  </w:r>
                </w:p>
              </w:tc>
              <w:tc>
                <w:tcPr>
                  <w:tcW w:w="808" w:type="pct"/>
                  <w:shd w:val="clear" w:color="auto" w:fill="auto"/>
                  <w:hideMark/>
                </w:tcPr>
                <w:p w14:paraId="452DEB98" w14:textId="77777777" w:rsidR="00FD0E26" w:rsidRPr="00FD0E26" w:rsidRDefault="00FD0E26" w:rsidP="0023308B">
                  <w:pPr>
                    <w:spacing w:after="0" w:line="240" w:lineRule="auto"/>
                    <w:jc w:val="center"/>
                    <w:rPr>
                      <w:rFonts w:eastAsia="Times New Roman" w:cs="Arial"/>
                      <w:color w:val="000000"/>
                      <w:sz w:val="18"/>
                      <w:szCs w:val="18"/>
                      <w:lang w:val="en-IN" w:bidi="hi-IN"/>
                    </w:rPr>
                  </w:pPr>
                  <w:r>
                    <w:rPr>
                      <w:rFonts w:eastAsia="Times New Roman" w:cs="Arial"/>
                      <w:color w:val="000000"/>
                      <w:sz w:val="18"/>
                      <w:szCs w:val="18"/>
                      <w:lang w:val="en-IN" w:bidi="hi-IN"/>
                    </w:rPr>
                    <w:t>618,886</w:t>
                  </w:r>
                </w:p>
              </w:tc>
              <w:tc>
                <w:tcPr>
                  <w:tcW w:w="657" w:type="pct"/>
                  <w:shd w:val="clear" w:color="auto" w:fill="auto"/>
                  <w:noWrap/>
                  <w:vAlign w:val="bottom"/>
                  <w:hideMark/>
                </w:tcPr>
                <w:p w14:paraId="452DEB99" w14:textId="77777777" w:rsidR="00FD0E26" w:rsidRDefault="00257BA0" w:rsidP="00FD0E26">
                  <w:pPr>
                    <w:spacing w:after="0" w:line="240" w:lineRule="auto"/>
                    <w:rPr>
                      <w:rFonts w:ascii="Calibri" w:eastAsia="Times New Roman" w:hAnsi="Calibri" w:cs="Calibri"/>
                      <w:color w:val="000000"/>
                      <w:sz w:val="22"/>
                      <w:szCs w:val="22"/>
                      <w:lang w:val="en-US" w:bidi="hi-IN"/>
                    </w:rPr>
                  </w:pPr>
                  <w:r>
                    <w:rPr>
                      <w:rFonts w:ascii="Calibri" w:eastAsia="Times New Roman" w:hAnsi="Calibri" w:cs="Calibri"/>
                      <w:color w:val="000000"/>
                      <w:sz w:val="22"/>
                      <w:szCs w:val="22"/>
                      <w:lang w:val="en-US" w:bidi="hi-IN"/>
                    </w:rPr>
                    <w:t xml:space="preserve">21.36% (increased) </w:t>
                  </w:r>
                </w:p>
              </w:tc>
            </w:tr>
          </w:tbl>
          <w:p w14:paraId="452DEB9B" w14:textId="77777777" w:rsidR="00257BA0" w:rsidRDefault="00257BA0" w:rsidP="00117083">
            <w:pPr>
              <w:widowControl w:val="0"/>
              <w:tabs>
                <w:tab w:val="left" w:pos="2580"/>
              </w:tabs>
              <w:spacing w:before="120" w:after="120" w:line="240" w:lineRule="auto"/>
              <w:rPr>
                <w:rFonts w:ascii="Franklin Gothic Book" w:hAnsi="Franklin Gothic Book"/>
                <w:iCs/>
                <w:szCs w:val="20"/>
              </w:rPr>
            </w:pPr>
            <w:r>
              <w:rPr>
                <w:rFonts w:ascii="Franklin Gothic Book" w:hAnsi="Franklin Gothic Book"/>
                <w:iCs/>
                <w:szCs w:val="20"/>
              </w:rPr>
              <w:t>T</w:t>
            </w:r>
            <w:r w:rsidR="00453549" w:rsidRPr="00453549">
              <w:rPr>
                <w:rFonts w:ascii="Franklin Gothic Book" w:hAnsi="Franklin Gothic Book"/>
                <w:iCs/>
                <w:szCs w:val="20"/>
              </w:rPr>
              <w:t xml:space="preserve">he </w:t>
            </w:r>
            <w:r w:rsidR="00453549" w:rsidRPr="00117083">
              <w:rPr>
                <w:rFonts w:ascii="Franklin Gothic Book" w:hAnsi="Franklin Gothic Book"/>
                <w:b/>
                <w:bCs/>
                <w:iCs/>
                <w:szCs w:val="20"/>
              </w:rPr>
              <w:t>net emission reductions</w:t>
            </w:r>
            <w:r w:rsidR="00453549" w:rsidRPr="00453549">
              <w:rPr>
                <w:rFonts w:ascii="Franklin Gothic Book" w:hAnsi="Franklin Gothic Book"/>
                <w:iCs/>
                <w:szCs w:val="20"/>
              </w:rPr>
              <w:t xml:space="preserve"> achieved during the </w:t>
            </w:r>
            <w:r>
              <w:rPr>
                <w:rFonts w:ascii="Franklin Gothic Book" w:hAnsi="Franklin Gothic Book"/>
                <w:iCs/>
                <w:szCs w:val="20"/>
              </w:rPr>
              <w:t>completed project’s crediting period(</w:t>
            </w:r>
            <w:r w:rsidRPr="00FD0E26">
              <w:rPr>
                <w:rFonts w:eastAsia="Times New Roman" w:cs="Arial"/>
                <w:color w:val="000000"/>
                <w:sz w:val="18"/>
                <w:szCs w:val="18"/>
                <w:lang w:val="en-US" w:bidi="hi-IN"/>
              </w:rPr>
              <w:t>1 November 2018 to31 August 2021</w:t>
            </w:r>
            <w:r>
              <w:rPr>
                <w:rFonts w:eastAsia="Times New Roman" w:cs="Arial"/>
                <w:color w:val="000000"/>
                <w:sz w:val="18"/>
                <w:szCs w:val="18"/>
                <w:lang w:val="en-US" w:bidi="hi-IN"/>
              </w:rPr>
              <w:t xml:space="preserve">) </w:t>
            </w:r>
            <w:r w:rsidR="00453549" w:rsidRPr="00453549">
              <w:rPr>
                <w:rFonts w:ascii="Franklin Gothic Book" w:hAnsi="Franklin Gothic Book"/>
                <w:iCs/>
                <w:szCs w:val="20"/>
              </w:rPr>
              <w:t>is around 2</w:t>
            </w:r>
            <w:r>
              <w:rPr>
                <w:rFonts w:ascii="Franklin Gothic Book" w:hAnsi="Franklin Gothic Book"/>
                <w:iCs/>
                <w:szCs w:val="20"/>
              </w:rPr>
              <w:t>1</w:t>
            </w:r>
            <w:r w:rsidR="00453549" w:rsidRPr="00453549">
              <w:rPr>
                <w:rFonts w:ascii="Franklin Gothic Book" w:hAnsi="Franklin Gothic Book"/>
                <w:iCs/>
                <w:szCs w:val="20"/>
              </w:rPr>
              <w:t>.</w:t>
            </w:r>
            <w:r>
              <w:rPr>
                <w:rFonts w:ascii="Franklin Gothic Book" w:hAnsi="Franklin Gothic Book"/>
                <w:iCs/>
                <w:szCs w:val="20"/>
              </w:rPr>
              <w:t>36</w:t>
            </w:r>
            <w:r w:rsidR="00453549" w:rsidRPr="00453549">
              <w:rPr>
                <w:rFonts w:ascii="Franklin Gothic Book" w:hAnsi="Franklin Gothic Book"/>
                <w:iCs/>
                <w:szCs w:val="20"/>
              </w:rPr>
              <w:t>% higher than the</w:t>
            </w:r>
            <w:r w:rsidR="00453549" w:rsidRPr="00117083">
              <w:rPr>
                <w:rFonts w:ascii="Franklin Gothic Book" w:hAnsi="Franklin Gothic Book"/>
                <w:b/>
                <w:bCs/>
                <w:iCs/>
                <w:szCs w:val="20"/>
              </w:rPr>
              <w:t xml:space="preserve"> ex-ante estimated ERs</w:t>
            </w:r>
            <w:r w:rsidR="00453549" w:rsidRPr="00453549">
              <w:rPr>
                <w:rFonts w:ascii="Franklin Gothic Book" w:hAnsi="Franklin Gothic Book"/>
                <w:iCs/>
                <w:szCs w:val="20"/>
              </w:rPr>
              <w:t xml:space="preserve"> for the equivalent period.</w:t>
            </w:r>
          </w:p>
          <w:p w14:paraId="452DEB9C" w14:textId="148B546C" w:rsidR="00FD0E26" w:rsidRDefault="00453549" w:rsidP="00117083">
            <w:pPr>
              <w:widowControl w:val="0"/>
              <w:tabs>
                <w:tab w:val="left" w:pos="2580"/>
              </w:tabs>
              <w:spacing w:before="120" w:after="120" w:line="240" w:lineRule="auto"/>
              <w:rPr>
                <w:rFonts w:ascii="Franklin Gothic Book" w:hAnsi="Franklin Gothic Book"/>
                <w:iCs/>
                <w:szCs w:val="20"/>
              </w:rPr>
            </w:pPr>
            <w:r>
              <w:rPr>
                <w:rFonts w:ascii="Franklin Gothic Book" w:hAnsi="Franklin Gothic Book"/>
                <w:iCs/>
                <w:szCs w:val="20"/>
              </w:rPr>
              <w:t>As per registered PD, PLF is considered as 22.00% where is actual PLF achieved during the</w:t>
            </w:r>
            <w:r w:rsidR="00A62991">
              <w:rPr>
                <w:rFonts w:ascii="Franklin Gothic Book" w:hAnsi="Franklin Gothic Book"/>
                <w:iCs/>
                <w:szCs w:val="20"/>
              </w:rPr>
              <w:t xml:space="preserve"> </w:t>
            </w:r>
            <w:r w:rsidR="00257BA0">
              <w:rPr>
                <w:rFonts w:ascii="Franklin Gothic Book" w:hAnsi="Franklin Gothic Book"/>
                <w:iCs/>
                <w:szCs w:val="20"/>
              </w:rPr>
              <w:t>completed project’s crediting period</w:t>
            </w:r>
            <w:r w:rsidR="00A62991">
              <w:rPr>
                <w:rFonts w:ascii="Franklin Gothic Book" w:hAnsi="Franklin Gothic Book"/>
                <w:iCs/>
                <w:szCs w:val="20"/>
              </w:rPr>
              <w:t xml:space="preserve"> </w:t>
            </w:r>
            <w:r w:rsidR="00257BA0">
              <w:rPr>
                <w:rFonts w:ascii="Franklin Gothic Book" w:hAnsi="Franklin Gothic Book"/>
                <w:iCs/>
                <w:szCs w:val="20"/>
              </w:rPr>
              <w:t>(</w:t>
            </w:r>
            <w:r w:rsidR="00257BA0" w:rsidRPr="00FD0E26">
              <w:rPr>
                <w:rFonts w:eastAsia="Times New Roman" w:cs="Arial"/>
                <w:color w:val="000000"/>
                <w:sz w:val="18"/>
                <w:szCs w:val="18"/>
                <w:lang w:val="en-US" w:bidi="hi-IN"/>
              </w:rPr>
              <w:t>1 November 2018 to31 August 2021</w:t>
            </w:r>
            <w:r w:rsidR="00257BA0">
              <w:rPr>
                <w:rFonts w:eastAsia="Times New Roman" w:cs="Arial"/>
                <w:color w:val="000000"/>
                <w:sz w:val="18"/>
                <w:szCs w:val="18"/>
                <w:lang w:val="en-US" w:bidi="hi-IN"/>
              </w:rPr>
              <w:t xml:space="preserve">) </w:t>
            </w:r>
            <w:r w:rsidR="00257BA0">
              <w:rPr>
                <w:rFonts w:ascii="Franklin Gothic Book" w:hAnsi="Franklin Gothic Book"/>
                <w:iCs/>
                <w:szCs w:val="20"/>
              </w:rPr>
              <w:t>is 26</w:t>
            </w:r>
            <w:r>
              <w:rPr>
                <w:rFonts w:ascii="Franklin Gothic Book" w:hAnsi="Franklin Gothic Book"/>
                <w:iCs/>
                <w:szCs w:val="20"/>
              </w:rPr>
              <w:t>.</w:t>
            </w:r>
            <w:r w:rsidR="00257BA0">
              <w:rPr>
                <w:rFonts w:ascii="Franklin Gothic Book" w:hAnsi="Franklin Gothic Book"/>
                <w:iCs/>
                <w:szCs w:val="20"/>
              </w:rPr>
              <w:t>59</w:t>
            </w:r>
            <w:r>
              <w:rPr>
                <w:rFonts w:ascii="Franklin Gothic Book" w:hAnsi="Franklin Gothic Book"/>
                <w:iCs/>
                <w:szCs w:val="20"/>
              </w:rPr>
              <w:t xml:space="preserve">% which is within the limit </w:t>
            </w:r>
            <w:r w:rsidR="00257BA0">
              <w:rPr>
                <w:rFonts w:ascii="Franklin Gothic Book" w:hAnsi="Franklin Gothic Book"/>
                <w:iCs/>
                <w:szCs w:val="20"/>
              </w:rPr>
              <w:t>of +</w:t>
            </w:r>
            <w:r w:rsidRPr="00453549">
              <w:rPr>
                <w:rFonts w:ascii="Franklin Gothic Book" w:hAnsi="Franklin Gothic Book"/>
                <w:iCs/>
                <w:szCs w:val="20"/>
              </w:rPr>
              <w:t>/- 10% sensitivity</w:t>
            </w:r>
            <w:r>
              <w:rPr>
                <w:rFonts w:ascii="Franklin Gothic Book" w:hAnsi="Franklin Gothic Book"/>
                <w:iCs/>
                <w:szCs w:val="20"/>
              </w:rPr>
              <w:t xml:space="preserve"> i.e. 27.30%.</w:t>
            </w:r>
          </w:p>
          <w:p w14:paraId="452DEB9D" w14:textId="77777777" w:rsidR="00FD0E26" w:rsidRPr="00257CA5" w:rsidRDefault="00453549" w:rsidP="00257BA0">
            <w:pPr>
              <w:widowControl w:val="0"/>
              <w:tabs>
                <w:tab w:val="left" w:pos="2580"/>
              </w:tabs>
              <w:spacing w:before="120" w:after="120" w:line="240" w:lineRule="auto"/>
              <w:rPr>
                <w:rFonts w:ascii="Franklin Gothic Book" w:hAnsi="Franklin Gothic Book"/>
                <w:iCs/>
                <w:szCs w:val="20"/>
              </w:rPr>
            </w:pPr>
            <w:r w:rsidRPr="00453549">
              <w:rPr>
                <w:rFonts w:ascii="Franklin Gothic Book" w:hAnsi="Franklin Gothic Book"/>
                <w:iCs/>
                <w:szCs w:val="20"/>
              </w:rPr>
              <w:t>Hence, there is no impact on project additionality due to higher PLF, thus the higher ERs.</w:t>
            </w:r>
          </w:p>
        </w:tc>
      </w:tr>
      <w:tr w:rsidR="00620C29" w:rsidRPr="00E712AF" w14:paraId="452DEBA1" w14:textId="77777777" w:rsidTr="009368EB">
        <w:tc>
          <w:tcPr>
            <w:tcW w:w="8882" w:type="dxa"/>
            <w:tcBorders>
              <w:top w:val="single" w:sz="4" w:space="0" w:color="FFFFFF" w:themeColor="background1"/>
            </w:tcBorders>
            <w:shd w:val="clear" w:color="auto" w:fill="F2F2F2"/>
          </w:tcPr>
          <w:p w14:paraId="452DEB9F" w14:textId="77777777" w:rsidR="00620C29" w:rsidRPr="00286ADB" w:rsidRDefault="00620C29" w:rsidP="009368EB">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286ADB">
              <w:rPr>
                <w:rFonts w:ascii="Franklin Gothic Book" w:hAnsi="Franklin Gothic Book" w:cs="Times New Roman"/>
                <w:bCs w:val="0"/>
                <w:iCs w:val="0"/>
                <w:color w:val="auto"/>
                <w:sz w:val="20"/>
                <w:szCs w:val="20"/>
              </w:rPr>
              <w:t xml:space="preserve">Verra Response: </w:t>
            </w:r>
          </w:p>
          <w:p w14:paraId="452DEBA0" w14:textId="7DF57583" w:rsidR="00620C29" w:rsidRPr="001F0FAE" w:rsidRDefault="00EC0ADF" w:rsidP="009368EB">
            <w:pPr>
              <w:spacing w:before="120" w:after="120" w:line="240" w:lineRule="auto"/>
              <w:rPr>
                <w:rFonts w:ascii="Franklin Gothic Book" w:hAnsi="Franklin Gothic Book"/>
                <w:szCs w:val="20"/>
              </w:rPr>
            </w:pPr>
            <w:r>
              <w:rPr>
                <w:rFonts w:ascii="Franklin Gothic Book" w:hAnsi="Franklin Gothic Book"/>
                <w:szCs w:val="20"/>
              </w:rPr>
              <w:t>The VVB has provided a</w:t>
            </w:r>
            <w:r w:rsidR="00325D5E">
              <w:rPr>
                <w:rFonts w:ascii="Franklin Gothic Book" w:hAnsi="Franklin Gothic Book"/>
                <w:szCs w:val="20"/>
              </w:rPr>
              <w:t xml:space="preserve"> </w:t>
            </w:r>
            <w:r w:rsidR="00325D5E">
              <w:rPr>
                <w:rFonts w:ascii="Franklin Gothic Book" w:hAnsi="Franklin Gothic Book"/>
                <w:bCs/>
                <w:iCs/>
                <w:szCs w:val="20"/>
              </w:rPr>
              <w:t xml:space="preserve">with estimated and achieved ERRs throughout the project’s crediting period and the emission reductions from this monitoring period are in line with previous periods. </w:t>
            </w:r>
            <w:r w:rsidR="00325D5E">
              <w:rPr>
                <w:rFonts w:ascii="Franklin Gothic Book" w:hAnsi="Franklin Gothic Book"/>
                <w:szCs w:val="20"/>
              </w:rPr>
              <w:t xml:space="preserve">This </w:t>
            </w:r>
            <w:r w:rsidR="00325D5E">
              <w:rPr>
                <w:rFonts w:ascii="Franklin Gothic Book" w:hAnsi="Franklin Gothic Book"/>
                <w:szCs w:val="20"/>
              </w:rPr>
              <w:lastRenderedPageBreak/>
              <w:t>clarification is sufficient to close the finding, no further response is required.</w:t>
            </w:r>
          </w:p>
        </w:tc>
      </w:tr>
    </w:tbl>
    <w:p w14:paraId="452DEBA2" w14:textId="77777777" w:rsidR="00DF5DBF" w:rsidRPr="00554CA9" w:rsidRDefault="00605FE0" w:rsidP="00E61BE3">
      <w:pPr>
        <w:pStyle w:val="Heading1"/>
        <w:numPr>
          <w:ilvl w:val="0"/>
          <w:numId w:val="50"/>
        </w:numPr>
        <w:rPr>
          <w:rStyle w:val="SubtleEmphasis"/>
          <w:b w:val="0"/>
          <w:bCs w:val="0"/>
          <w:i w:val="0"/>
          <w:iCs w:val="0"/>
          <w:color w:val="057299"/>
        </w:rPr>
      </w:pPr>
      <w:r w:rsidRPr="00554CA9">
        <w:rPr>
          <w:rStyle w:val="SubtleEmphasis"/>
          <w:b w:val="0"/>
          <w:bCs w:val="0"/>
          <w:i w:val="0"/>
          <w:iCs w:val="0"/>
          <w:color w:val="057299"/>
        </w:rPr>
        <w:lastRenderedPageBreak/>
        <w:t>Assessment C</w:t>
      </w:r>
      <w:r w:rsidR="005F6342" w:rsidRPr="00554CA9">
        <w:rPr>
          <w:rStyle w:val="SubtleEmphasis"/>
          <w:b w:val="0"/>
          <w:bCs w:val="0"/>
          <w:i w:val="0"/>
          <w:iCs w:val="0"/>
          <w:color w:val="057299"/>
        </w:rPr>
        <w:t>onclusion</w:t>
      </w:r>
    </w:p>
    <w:p w14:paraId="452DEBA3" w14:textId="77777777" w:rsidR="007D7C85" w:rsidRDefault="00327F54" w:rsidP="00777CCB">
      <w:pPr>
        <w:widowControl w:val="0"/>
        <w:spacing w:before="160" w:after="0" w:line="312" w:lineRule="auto"/>
        <w:ind w:left="360"/>
        <w:rPr>
          <w:rFonts w:ascii="Franklin Gothic Book" w:hAnsi="Franklin Gothic Book"/>
          <w:spacing w:val="2"/>
          <w:szCs w:val="21"/>
        </w:rPr>
      </w:pPr>
      <w:r>
        <w:rPr>
          <w:rFonts w:ascii="Franklin Gothic Book" w:hAnsi="Franklin Gothic Book"/>
          <w:spacing w:val="2"/>
          <w:szCs w:val="21"/>
        </w:rPr>
        <w:t xml:space="preserve">On </w:t>
      </w:r>
      <w:r w:rsidR="00D06CED">
        <w:rPr>
          <w:rFonts w:ascii="Franklin Gothic Book" w:hAnsi="Franklin Gothic Book"/>
          <w:spacing w:val="2"/>
          <w:szCs w:val="21"/>
        </w:rPr>
        <w:t>20</w:t>
      </w:r>
      <w:r w:rsidR="00CB0479">
        <w:rPr>
          <w:rFonts w:ascii="Franklin Gothic Book" w:hAnsi="Franklin Gothic Book"/>
          <w:spacing w:val="2"/>
          <w:szCs w:val="21"/>
        </w:rPr>
        <w:t>April 2022</w:t>
      </w:r>
      <w:r>
        <w:rPr>
          <w:rFonts w:ascii="Franklin Gothic Book" w:hAnsi="Franklin Gothic Book"/>
          <w:spacing w:val="2"/>
          <w:szCs w:val="21"/>
        </w:rPr>
        <w:t xml:space="preserve"> Verra concluded a review of the verification approval request for project </w:t>
      </w:r>
      <w:r w:rsidR="009C2837" w:rsidRPr="009C2837">
        <w:rPr>
          <w:rFonts w:ascii="Franklin Gothic Book" w:hAnsi="Franklin Gothic Book"/>
          <w:spacing w:val="2"/>
          <w:szCs w:val="21"/>
        </w:rPr>
        <w:t xml:space="preserve">100 MW Solar project in </w:t>
      </w:r>
      <w:proofErr w:type="spellStart"/>
      <w:r w:rsidR="009C2837" w:rsidRPr="009C2837">
        <w:rPr>
          <w:rFonts w:ascii="Franklin Gothic Book" w:hAnsi="Franklin Gothic Book"/>
          <w:spacing w:val="2"/>
          <w:szCs w:val="21"/>
        </w:rPr>
        <w:t>Bhadla</w:t>
      </w:r>
      <w:proofErr w:type="spellEnd"/>
      <w:r w:rsidR="009C2837" w:rsidRPr="009C2837">
        <w:rPr>
          <w:rFonts w:ascii="Franklin Gothic Book" w:hAnsi="Franklin Gothic Book"/>
          <w:spacing w:val="2"/>
          <w:szCs w:val="21"/>
        </w:rPr>
        <w:t xml:space="preserve"> in </w:t>
      </w:r>
      <w:proofErr w:type="spellStart"/>
      <w:r w:rsidR="009C2837" w:rsidRPr="009C2837">
        <w:rPr>
          <w:rFonts w:ascii="Franklin Gothic Book" w:hAnsi="Franklin Gothic Book"/>
          <w:spacing w:val="2"/>
          <w:szCs w:val="21"/>
        </w:rPr>
        <w:t>Rajasthan</w:t>
      </w:r>
      <w:r w:rsidR="00906E9D">
        <w:rPr>
          <w:rFonts w:ascii="Franklin Gothic Book" w:hAnsi="Franklin Gothic Book"/>
          <w:spacing w:val="2"/>
          <w:szCs w:val="21"/>
        </w:rPr>
        <w:t>and</w:t>
      </w:r>
      <w:proofErr w:type="spellEnd"/>
      <w:r w:rsidR="00906E9D">
        <w:rPr>
          <w:rFonts w:ascii="Franklin Gothic Book" w:hAnsi="Franklin Gothic Book"/>
          <w:spacing w:val="2"/>
          <w:szCs w:val="21"/>
        </w:rPr>
        <w:t xml:space="preserve"> </w:t>
      </w:r>
      <w:r w:rsidR="00285622">
        <w:rPr>
          <w:rFonts w:ascii="Franklin Gothic Book" w:hAnsi="Franklin Gothic Book"/>
          <w:spacing w:val="2"/>
          <w:szCs w:val="21"/>
        </w:rPr>
        <w:t>raised</w:t>
      </w:r>
      <w:r w:rsidR="00906E9D">
        <w:rPr>
          <w:rFonts w:ascii="Franklin Gothic Book" w:hAnsi="Franklin Gothic Book"/>
          <w:spacing w:val="2"/>
          <w:szCs w:val="21"/>
        </w:rPr>
        <w:t xml:space="preserve"> the </w:t>
      </w:r>
      <w:r w:rsidR="009C2837">
        <w:rPr>
          <w:rFonts w:ascii="Franklin Gothic Book" w:hAnsi="Franklin Gothic Book"/>
          <w:spacing w:val="2"/>
          <w:szCs w:val="21"/>
        </w:rPr>
        <w:t>2</w:t>
      </w:r>
      <w:r w:rsidR="00906E9D">
        <w:rPr>
          <w:rFonts w:ascii="Franklin Gothic Book" w:hAnsi="Franklin Gothic Book"/>
          <w:spacing w:val="2"/>
          <w:szCs w:val="21"/>
        </w:rPr>
        <w:t xml:space="preserve"> assessment findings detailed above.</w:t>
      </w:r>
    </w:p>
    <w:p w14:paraId="452DEBA4" w14:textId="77777777" w:rsidR="00906E9D" w:rsidRDefault="00906E9D" w:rsidP="00777CCB">
      <w:pPr>
        <w:widowControl w:val="0"/>
        <w:spacing w:before="160" w:after="0" w:line="312" w:lineRule="auto"/>
        <w:ind w:left="360"/>
        <w:rPr>
          <w:rFonts w:ascii="Franklin Gothic Book" w:hAnsi="Franklin Gothic Book"/>
          <w:spacing w:val="2"/>
          <w:szCs w:val="21"/>
        </w:rPr>
      </w:pPr>
      <w:r>
        <w:rPr>
          <w:rFonts w:ascii="Franklin Gothic Book" w:hAnsi="Franklin Gothic Book"/>
          <w:spacing w:val="2"/>
          <w:szCs w:val="21"/>
        </w:rPr>
        <w:t xml:space="preserve">On </w:t>
      </w:r>
      <w:r w:rsidR="00D06CED">
        <w:rPr>
          <w:rFonts w:ascii="Franklin Gothic Book" w:hAnsi="Franklin Gothic Book"/>
          <w:spacing w:val="2"/>
          <w:szCs w:val="21"/>
        </w:rPr>
        <w:t>20</w:t>
      </w:r>
      <w:r w:rsidR="00CB0479">
        <w:rPr>
          <w:rFonts w:ascii="Franklin Gothic Book" w:hAnsi="Franklin Gothic Book"/>
          <w:spacing w:val="2"/>
          <w:szCs w:val="21"/>
        </w:rPr>
        <w:t>April 2022</w:t>
      </w:r>
      <w:r>
        <w:rPr>
          <w:rFonts w:ascii="Franklin Gothic Book" w:hAnsi="Franklin Gothic Book"/>
          <w:spacing w:val="2"/>
          <w:szCs w:val="21"/>
        </w:rPr>
        <w:t xml:space="preserve"> Verra submitted the review report to the VVB </w:t>
      </w:r>
      <w:r w:rsidR="00C166B5" w:rsidRPr="00C166B5">
        <w:rPr>
          <w:rFonts w:ascii="Franklin Gothic Book" w:hAnsi="Franklin Gothic Book"/>
          <w:spacing w:val="2"/>
          <w:szCs w:val="21"/>
        </w:rPr>
        <w:t xml:space="preserve">LGAI Technological </w:t>
      </w:r>
      <w:proofErr w:type="spellStart"/>
      <w:r w:rsidR="00C166B5" w:rsidRPr="00C166B5">
        <w:rPr>
          <w:rFonts w:ascii="Franklin Gothic Book" w:hAnsi="Franklin Gothic Book"/>
          <w:spacing w:val="2"/>
          <w:szCs w:val="21"/>
        </w:rPr>
        <w:t>Center</w:t>
      </w:r>
      <w:proofErr w:type="spellEnd"/>
      <w:r w:rsidR="00C166B5" w:rsidRPr="00C166B5">
        <w:rPr>
          <w:rFonts w:ascii="Franklin Gothic Book" w:hAnsi="Franklin Gothic Book"/>
          <w:spacing w:val="2"/>
          <w:szCs w:val="21"/>
        </w:rPr>
        <w:t>, S.A. (</w:t>
      </w:r>
      <w:proofErr w:type="spellStart"/>
      <w:r w:rsidR="00C166B5" w:rsidRPr="00C166B5">
        <w:rPr>
          <w:rFonts w:ascii="Franklin Gothic Book" w:hAnsi="Franklin Gothic Book"/>
          <w:spacing w:val="2"/>
          <w:szCs w:val="21"/>
        </w:rPr>
        <w:t>Applus</w:t>
      </w:r>
      <w:proofErr w:type="spellEnd"/>
      <w:r w:rsidR="00C166B5" w:rsidRPr="00C166B5">
        <w:rPr>
          <w:rFonts w:ascii="Franklin Gothic Book" w:hAnsi="Franklin Gothic Book"/>
          <w:spacing w:val="2"/>
          <w:szCs w:val="21"/>
        </w:rPr>
        <w:t>+ Certification)</w:t>
      </w:r>
      <w:r w:rsidR="0082754F">
        <w:rPr>
          <w:rFonts w:ascii="Franklin Gothic Book" w:hAnsi="Franklin Gothic Book"/>
          <w:spacing w:val="2"/>
          <w:szCs w:val="21"/>
        </w:rPr>
        <w:t xml:space="preserve"> and the project proponent </w:t>
      </w:r>
      <w:r w:rsidR="00C166B5" w:rsidRPr="00C166B5">
        <w:rPr>
          <w:rFonts w:ascii="Franklin Gothic Book" w:hAnsi="Franklin Gothic Book"/>
          <w:spacing w:val="2"/>
          <w:szCs w:val="21"/>
        </w:rPr>
        <w:t xml:space="preserve">Clean Sustainable Energy </w:t>
      </w:r>
      <w:proofErr w:type="spellStart"/>
      <w:r w:rsidR="00C166B5" w:rsidRPr="00C166B5">
        <w:rPr>
          <w:rFonts w:ascii="Franklin Gothic Book" w:hAnsi="Franklin Gothic Book"/>
          <w:spacing w:val="2"/>
          <w:szCs w:val="21"/>
        </w:rPr>
        <w:t>Pvt.</w:t>
      </w:r>
      <w:proofErr w:type="spellEnd"/>
      <w:r w:rsidR="00C166B5" w:rsidRPr="00C166B5">
        <w:rPr>
          <w:rFonts w:ascii="Franklin Gothic Book" w:hAnsi="Franklin Gothic Book"/>
          <w:spacing w:val="2"/>
          <w:szCs w:val="21"/>
        </w:rPr>
        <w:t xml:space="preserve"> Ltd</w:t>
      </w:r>
      <w:r w:rsidR="0082754F">
        <w:rPr>
          <w:rFonts w:ascii="Franklin Gothic Book" w:hAnsi="Franklin Gothic Book"/>
          <w:spacing w:val="2"/>
          <w:szCs w:val="21"/>
        </w:rPr>
        <w:t xml:space="preserve">. </w:t>
      </w:r>
    </w:p>
    <w:p w14:paraId="452DEBA5" w14:textId="36B1C830" w:rsidR="0082754F" w:rsidRPr="0033417C" w:rsidRDefault="002E08A7" w:rsidP="00777CCB">
      <w:pPr>
        <w:widowControl w:val="0"/>
        <w:spacing w:before="160" w:after="0" w:line="312" w:lineRule="auto"/>
        <w:ind w:left="360"/>
        <w:rPr>
          <w:rFonts w:ascii="Franklin Gothic Book" w:hAnsi="Franklin Gothic Book"/>
          <w:spacing w:val="2"/>
          <w:szCs w:val="21"/>
        </w:rPr>
      </w:pPr>
      <w:r>
        <w:rPr>
          <w:rFonts w:ascii="Franklin Gothic Book" w:hAnsi="Franklin Gothic Book"/>
          <w:spacing w:val="2"/>
          <w:szCs w:val="21"/>
        </w:rPr>
        <w:t xml:space="preserve">On </w:t>
      </w:r>
      <w:r w:rsidR="00D83E2A">
        <w:rPr>
          <w:rFonts w:ascii="Franklin Gothic Book" w:hAnsi="Franklin Gothic Book"/>
          <w:spacing w:val="2"/>
          <w:szCs w:val="21"/>
        </w:rPr>
        <w:t xml:space="preserve">6 July 2022 Verra closed all findings. </w:t>
      </w:r>
    </w:p>
    <w:sectPr w:rsidR="0082754F" w:rsidRPr="0033417C" w:rsidSect="000D77C6">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E65D" w14:textId="77777777" w:rsidR="007D5AD6" w:rsidRDefault="007D5AD6">
      <w:r>
        <w:separator/>
      </w:r>
    </w:p>
  </w:endnote>
  <w:endnote w:type="continuationSeparator" w:id="0">
    <w:p w14:paraId="3018CD65" w14:textId="77777777" w:rsidR="007D5AD6" w:rsidRDefault="007D5AD6">
      <w:r>
        <w:continuationSeparator/>
      </w:r>
    </w:p>
  </w:endnote>
  <w:endnote w:type="continuationNotice" w:id="1">
    <w:p w14:paraId="1E74F763" w14:textId="77777777" w:rsidR="007D5AD6" w:rsidRDefault="007D5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EBAD" w14:textId="77777777" w:rsidR="004C4073" w:rsidRDefault="007C4D96">
    <w:pPr>
      <w:pStyle w:val="Footer"/>
      <w:framePr w:wrap="around" w:vAnchor="text" w:hAnchor="margin" w:xAlign="center" w:y="1"/>
      <w:rPr>
        <w:rStyle w:val="PageNumber"/>
      </w:rPr>
    </w:pPr>
    <w:r>
      <w:rPr>
        <w:rStyle w:val="PageNumber"/>
      </w:rPr>
      <w:fldChar w:fldCharType="begin"/>
    </w:r>
    <w:r w:rsidR="004C4073">
      <w:rPr>
        <w:rStyle w:val="PageNumber"/>
      </w:rPr>
      <w:instrText xml:space="preserve">PAGE  </w:instrText>
    </w:r>
    <w:r>
      <w:rPr>
        <w:rStyle w:val="PageNumber"/>
      </w:rPr>
      <w:fldChar w:fldCharType="separate"/>
    </w:r>
    <w:r w:rsidR="004C4073">
      <w:rPr>
        <w:rStyle w:val="PageNumber"/>
        <w:noProof/>
      </w:rPr>
      <w:t>1</w:t>
    </w:r>
    <w:r>
      <w:rPr>
        <w:rStyle w:val="PageNumber"/>
      </w:rPr>
      <w:fldChar w:fldCharType="end"/>
    </w:r>
  </w:p>
  <w:p w14:paraId="452DEBAE" w14:textId="77777777" w:rsidR="004C4073" w:rsidRDefault="004C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EBAF" w14:textId="77777777" w:rsidR="004C4073" w:rsidRDefault="004C4073" w:rsidP="004F592D">
    <w:pPr>
      <w:pStyle w:val="Footer"/>
      <w:spacing w:after="0"/>
    </w:pPr>
  </w:p>
  <w:p w14:paraId="452DEBB0" w14:textId="77777777" w:rsidR="004C4073" w:rsidRPr="00E712AF" w:rsidRDefault="007C4D96" w:rsidP="00DF7193">
    <w:pPr>
      <w:pStyle w:val="Header"/>
      <w:framePr w:w="321" w:h="301" w:hRule="exact" w:wrap="around" w:vAnchor="text" w:hAnchor="page" w:x="10456" w:y="173"/>
      <w:spacing w:after="0"/>
      <w:jc w:val="right"/>
      <w:rPr>
        <w:rStyle w:val="PageNumber"/>
        <w:rFonts w:ascii="Century Gothic" w:hAnsi="Century Gothic" w:cs="Arial"/>
        <w:color w:val="262626"/>
        <w:spacing w:val="2"/>
        <w:sz w:val="21"/>
        <w:szCs w:val="21"/>
      </w:rPr>
    </w:pPr>
    <w:r w:rsidRPr="00E712AF">
      <w:rPr>
        <w:rStyle w:val="PageNumber"/>
        <w:rFonts w:ascii="Century Gothic" w:hAnsi="Century Gothic" w:cs="Arial"/>
        <w:color w:val="262626"/>
        <w:spacing w:val="2"/>
        <w:sz w:val="21"/>
        <w:szCs w:val="21"/>
      </w:rPr>
      <w:fldChar w:fldCharType="begin"/>
    </w:r>
    <w:r w:rsidR="004C4073" w:rsidRPr="00E712AF">
      <w:rPr>
        <w:rStyle w:val="PageNumber"/>
        <w:rFonts w:ascii="Century Gothic" w:hAnsi="Century Gothic" w:cs="Arial"/>
        <w:color w:val="262626"/>
        <w:spacing w:val="2"/>
        <w:sz w:val="21"/>
        <w:szCs w:val="21"/>
      </w:rPr>
      <w:instrText xml:space="preserve">PAGE  </w:instrText>
    </w:r>
    <w:r w:rsidRPr="00E712AF">
      <w:rPr>
        <w:rStyle w:val="PageNumber"/>
        <w:rFonts w:ascii="Century Gothic" w:hAnsi="Century Gothic" w:cs="Arial"/>
        <w:color w:val="262626"/>
        <w:spacing w:val="2"/>
        <w:sz w:val="21"/>
        <w:szCs w:val="21"/>
      </w:rPr>
      <w:fldChar w:fldCharType="separate"/>
    </w:r>
    <w:r w:rsidR="00E34D0D">
      <w:rPr>
        <w:rStyle w:val="PageNumber"/>
        <w:rFonts w:ascii="Century Gothic" w:hAnsi="Century Gothic" w:cs="Arial"/>
        <w:noProof/>
        <w:color w:val="262626"/>
        <w:spacing w:val="2"/>
        <w:sz w:val="21"/>
        <w:szCs w:val="21"/>
      </w:rPr>
      <w:t>1</w:t>
    </w:r>
    <w:r w:rsidRPr="00E712AF">
      <w:rPr>
        <w:rStyle w:val="PageNumber"/>
        <w:rFonts w:ascii="Century Gothic" w:hAnsi="Century Gothic" w:cs="Arial"/>
        <w:color w:val="262626"/>
        <w:spacing w:val="2"/>
        <w:sz w:val="21"/>
        <w:szCs w:val="21"/>
      </w:rPr>
      <w:fldChar w:fldCharType="end"/>
    </w:r>
  </w:p>
  <w:p w14:paraId="452DEBB1" w14:textId="77777777" w:rsidR="004C4073" w:rsidRPr="002F589F" w:rsidRDefault="004C4073" w:rsidP="000D77C6">
    <w:pPr>
      <w:pStyle w:val="Footer"/>
      <w:tabs>
        <w:tab w:val="left" w:pos="5730"/>
        <w:tab w:val="right" w:pos="9360"/>
      </w:tabs>
      <w:spacing w:after="0"/>
      <w:rPr>
        <w:rFonts w:cs="Arial"/>
        <w:color w:val="7F7F7F"/>
        <w:sz w:val="16"/>
        <w:szCs w:val="16"/>
      </w:rPr>
    </w:pPr>
    <w:r>
      <w:rPr>
        <w:rFonts w:cs="Arial"/>
        <w:color w:val="7F7F7F"/>
        <w:sz w:val="16"/>
        <w:szCs w:val="16"/>
      </w:rPr>
      <w:tab/>
    </w:r>
    <w:r>
      <w:rPr>
        <w:rFonts w:cs="Arial"/>
        <w:color w:val="7F7F7F"/>
        <w:sz w:val="16"/>
        <w:szCs w:val="16"/>
      </w:rPr>
      <w:tab/>
    </w:r>
    <w:r>
      <w:rPr>
        <w:rFonts w:cs="Arial"/>
        <w:color w:val="7F7F7F"/>
        <w:sz w:val="16"/>
        <w:szCs w:val="16"/>
      </w:rPr>
      <w:tab/>
    </w:r>
    <w:r>
      <w:rPr>
        <w:rFonts w:cs="Arial"/>
        <w:color w:val="7F7F7F"/>
        <w:sz w:val="16"/>
        <w:szCs w:val="16"/>
      </w:rPr>
      <w:tab/>
    </w:r>
  </w:p>
  <w:p w14:paraId="452DEBB2" w14:textId="77777777" w:rsidR="004C4073" w:rsidRPr="00286ADB" w:rsidRDefault="00286ADB" w:rsidP="004F592D">
    <w:pPr>
      <w:pStyle w:val="Footer"/>
      <w:tabs>
        <w:tab w:val="clear" w:pos="4153"/>
        <w:tab w:val="left" w:pos="3060"/>
        <w:tab w:val="left" w:pos="8306"/>
      </w:tabs>
      <w:spacing w:after="0"/>
      <w:rPr>
        <w:rStyle w:val="PageNumber"/>
        <w:rFonts w:asciiTheme="minorHAnsi" w:hAnsiTheme="minorHAnsi" w:cs="Arial"/>
        <w:color w:val="4F5150"/>
        <w:sz w:val="21"/>
        <w:szCs w:val="21"/>
      </w:rPr>
    </w:pPr>
    <w:r>
      <w:rPr>
        <w:rFonts w:asciiTheme="minorHAnsi" w:hAnsiTheme="minorHAnsi" w:cs="Arial"/>
        <w:color w:val="4F5150"/>
        <w:sz w:val="21"/>
        <w:szCs w:val="21"/>
      </w:rPr>
      <w:t>v</w:t>
    </w:r>
    <w:r w:rsidRPr="00286ADB">
      <w:rPr>
        <w:rFonts w:asciiTheme="minorHAnsi" w:hAnsiTheme="minorHAnsi" w:cs="Arial"/>
        <w:color w:val="4F5150"/>
        <w:sz w:val="21"/>
        <w:szCs w:val="21"/>
      </w:rPr>
      <w:t>4.0</w:t>
    </w:r>
    <w:r w:rsidR="004C4073" w:rsidRPr="00286ADB">
      <w:rPr>
        <w:rFonts w:asciiTheme="minorHAnsi" w:hAnsiTheme="minorHAnsi" w:cs="Arial"/>
        <w:color w:val="4F5150"/>
        <w:sz w:val="21"/>
        <w:szCs w:val="21"/>
      </w:rPr>
      <w:tab/>
    </w:r>
    <w:r w:rsidR="004C4073" w:rsidRPr="00286ADB">
      <w:rPr>
        <w:rFonts w:asciiTheme="minorHAnsi" w:hAnsiTheme="minorHAnsi" w:cs="Arial"/>
        <w:color w:val="4F5150"/>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BDC8" w14:textId="77777777" w:rsidR="007D5AD6" w:rsidRDefault="007D5AD6">
      <w:r>
        <w:separator/>
      </w:r>
    </w:p>
  </w:footnote>
  <w:footnote w:type="continuationSeparator" w:id="0">
    <w:p w14:paraId="4EC48EE7" w14:textId="77777777" w:rsidR="007D5AD6" w:rsidRDefault="007D5AD6">
      <w:r>
        <w:continuationSeparator/>
      </w:r>
    </w:p>
  </w:footnote>
  <w:footnote w:type="continuationNotice" w:id="1">
    <w:p w14:paraId="6F720F2E" w14:textId="77777777" w:rsidR="007D5AD6" w:rsidRDefault="007D5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EBAC" w14:textId="77777777" w:rsidR="004C4073" w:rsidRPr="00DF7193" w:rsidRDefault="00286ADB" w:rsidP="002D67FB">
    <w:pPr>
      <w:pStyle w:val="Header"/>
      <w:tabs>
        <w:tab w:val="clear" w:pos="4153"/>
        <w:tab w:val="clear" w:pos="8306"/>
        <w:tab w:val="right" w:pos="9360"/>
      </w:tabs>
      <w:jc w:val="right"/>
      <w:rPr>
        <w:rFonts w:ascii="Arial" w:hAnsi="Arial" w:cs="Arial"/>
      </w:rPr>
    </w:pPr>
    <w:r>
      <w:rPr>
        <w:noProof/>
        <w:lang w:eastAsia="en-GB"/>
      </w:rPr>
      <w:drawing>
        <wp:anchor distT="0" distB="0" distL="114300" distR="114300" simplePos="0" relativeHeight="251658240" behindDoc="1" locked="0" layoutInCell="1" allowOverlap="1" wp14:anchorId="452DEBB4" wp14:editId="452DEBB5">
          <wp:simplePos x="0" y="0"/>
          <wp:positionH relativeFrom="column">
            <wp:posOffset>0</wp:posOffset>
          </wp:positionH>
          <wp:positionV relativeFrom="paragraph">
            <wp:posOffset>-250242</wp:posOffset>
          </wp:positionV>
          <wp:extent cx="882650" cy="3937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93700"/>
                  </a:xfrm>
                  <a:prstGeom prst="rect">
                    <a:avLst/>
                  </a:prstGeom>
                  <a:noFill/>
                  <a:ln>
                    <a:noFill/>
                  </a:ln>
                </pic:spPr>
              </pic:pic>
            </a:graphicData>
          </a:graphic>
        </wp:anchor>
      </w:drawing>
    </w:r>
    <w:r w:rsidR="004C4073" w:rsidRPr="002C0E47">
      <w:rPr>
        <w:rFonts w:cs="Arial"/>
        <w:noProof/>
        <w:color w:val="404040"/>
        <w:sz w:val="28"/>
        <w:szCs w:val="28"/>
        <w:u w:val="single"/>
        <w:lang w:eastAsia="en-GB"/>
      </w:rPr>
      <w:tab/>
    </w:r>
    <w:r w:rsidR="004C4073" w:rsidRPr="002C0E47">
      <w:rPr>
        <w:rFonts w:ascii="Century Gothic" w:hAnsi="Century Gothic" w:cs="Arial"/>
        <w:color w:val="404040"/>
        <w:spacing w:val="2"/>
        <w:sz w:val="21"/>
        <w:szCs w:val="21"/>
        <w:u w:val="single"/>
      </w:rPr>
      <w:t>PROJECT REVIEW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EBB3" w14:textId="77777777" w:rsidR="004C4073" w:rsidRPr="00F83EA8" w:rsidRDefault="004C4073" w:rsidP="00D61C9E">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3E5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0A13EE"/>
    <w:multiLevelType w:val="hybridMultilevel"/>
    <w:tmpl w:val="939E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51539"/>
    <w:multiLevelType w:val="hybridMultilevel"/>
    <w:tmpl w:val="518E1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43F67"/>
    <w:multiLevelType w:val="hybridMultilevel"/>
    <w:tmpl w:val="3020A8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01363C7"/>
    <w:multiLevelType w:val="hybridMultilevel"/>
    <w:tmpl w:val="3ABC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5995"/>
    <w:multiLevelType w:val="hybridMultilevel"/>
    <w:tmpl w:val="BEDC6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F4F81"/>
    <w:multiLevelType w:val="hybridMultilevel"/>
    <w:tmpl w:val="A330D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6FB5ED6"/>
    <w:multiLevelType w:val="hybridMultilevel"/>
    <w:tmpl w:val="AF2E25D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B74713"/>
    <w:multiLevelType w:val="hybridMultilevel"/>
    <w:tmpl w:val="6984818C"/>
    <w:lvl w:ilvl="0" w:tplc="6E32D346">
      <w:start w:val="1"/>
      <w:numFmt w:val="decimal"/>
      <w:pStyle w:val="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63152"/>
    <w:multiLevelType w:val="hybridMultilevel"/>
    <w:tmpl w:val="42DA22E6"/>
    <w:lvl w:ilvl="0" w:tplc="D0AABBBA">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1" w15:restartNumberingAfterBreak="0">
    <w:nsid w:val="25573161"/>
    <w:multiLevelType w:val="hybridMultilevel"/>
    <w:tmpl w:val="F1FA9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A6A95"/>
    <w:multiLevelType w:val="hybridMultilevel"/>
    <w:tmpl w:val="8E20F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211D9"/>
    <w:multiLevelType w:val="hybridMultilevel"/>
    <w:tmpl w:val="46188920"/>
    <w:lvl w:ilvl="0" w:tplc="EFE01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B29E6"/>
    <w:multiLevelType w:val="hybridMultilevel"/>
    <w:tmpl w:val="1DEAE414"/>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5" w15:restartNumberingAfterBreak="0">
    <w:nsid w:val="37433EFF"/>
    <w:multiLevelType w:val="hybridMultilevel"/>
    <w:tmpl w:val="0ED2EE80"/>
    <w:lvl w:ilvl="0" w:tplc="3084C72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B1E406C"/>
    <w:multiLevelType w:val="hybridMultilevel"/>
    <w:tmpl w:val="C9B6C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3794F"/>
    <w:multiLevelType w:val="hybridMultilevel"/>
    <w:tmpl w:val="1E46D2F4"/>
    <w:lvl w:ilvl="0" w:tplc="47D89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B5733"/>
    <w:multiLevelType w:val="singleLevel"/>
    <w:tmpl w:val="3BA825AA"/>
    <w:lvl w:ilvl="0">
      <w:numFmt w:val="bullet"/>
      <w:lvlText w:val="-"/>
      <w:lvlJc w:val="left"/>
      <w:pPr>
        <w:tabs>
          <w:tab w:val="num" w:pos="360"/>
        </w:tabs>
        <w:ind w:left="360" w:hanging="360"/>
      </w:pPr>
      <w:rPr>
        <w:rFonts w:hint="default"/>
      </w:rPr>
    </w:lvl>
  </w:abstractNum>
  <w:abstractNum w:abstractNumId="19" w15:restartNumberingAfterBreak="0">
    <w:nsid w:val="40AA06D6"/>
    <w:multiLevelType w:val="hybridMultilevel"/>
    <w:tmpl w:val="DD48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E5FBB"/>
    <w:multiLevelType w:val="hybridMultilevel"/>
    <w:tmpl w:val="C430DA30"/>
    <w:lvl w:ilvl="0" w:tplc="04090001">
      <w:start w:val="1"/>
      <w:numFmt w:val="bullet"/>
      <w:lvlText w:val=""/>
      <w:lvlJc w:val="left"/>
      <w:pPr>
        <w:tabs>
          <w:tab w:val="num" w:pos="1656"/>
        </w:tabs>
        <w:ind w:left="165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1" w15:restartNumberingAfterBreak="0">
    <w:nsid w:val="47B404BD"/>
    <w:multiLevelType w:val="hybridMultilevel"/>
    <w:tmpl w:val="74DA60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CB589C"/>
    <w:multiLevelType w:val="singleLevel"/>
    <w:tmpl w:val="51801062"/>
    <w:lvl w:ilvl="0">
      <w:start w:val="1"/>
      <w:numFmt w:val="lowerRoman"/>
      <w:lvlText w:val="%1)"/>
      <w:lvlJc w:val="left"/>
      <w:pPr>
        <w:tabs>
          <w:tab w:val="num" w:pos="720"/>
        </w:tabs>
        <w:ind w:left="720" w:hanging="720"/>
      </w:pPr>
      <w:rPr>
        <w:rFonts w:hint="default"/>
      </w:rPr>
    </w:lvl>
  </w:abstractNum>
  <w:abstractNum w:abstractNumId="23" w15:restartNumberingAfterBreak="0">
    <w:nsid w:val="56B23626"/>
    <w:multiLevelType w:val="multilevel"/>
    <w:tmpl w:val="9B8CD0D4"/>
    <w:lvl w:ilvl="0">
      <w:start w:val="3"/>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A5F4082"/>
    <w:multiLevelType w:val="multilevel"/>
    <w:tmpl w:val="FB4AEC3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2CD297E"/>
    <w:multiLevelType w:val="hybridMultilevel"/>
    <w:tmpl w:val="1F68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D0E74"/>
    <w:multiLevelType w:val="hybridMultilevel"/>
    <w:tmpl w:val="28048518"/>
    <w:lvl w:ilvl="0" w:tplc="04090001">
      <w:start w:val="1"/>
      <w:numFmt w:val="bullet"/>
      <w:lvlText w:val=""/>
      <w:lvlJc w:val="left"/>
      <w:pPr>
        <w:ind w:left="519" w:hanging="360"/>
      </w:pPr>
      <w:rPr>
        <w:rFonts w:ascii="Symbol" w:hAnsi="Symbol" w:hint="default"/>
      </w:rPr>
    </w:lvl>
    <w:lvl w:ilvl="1" w:tplc="04090003">
      <w:start w:val="1"/>
      <w:numFmt w:val="bullet"/>
      <w:lvlText w:val="o"/>
      <w:lvlJc w:val="left"/>
      <w:pPr>
        <w:ind w:left="1239" w:hanging="360"/>
      </w:pPr>
      <w:rPr>
        <w:rFonts w:ascii="Courier New" w:hAnsi="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27" w15:restartNumberingAfterBreak="0">
    <w:nsid w:val="6B461C0C"/>
    <w:multiLevelType w:val="hybridMultilevel"/>
    <w:tmpl w:val="D7FEE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41DA0"/>
    <w:multiLevelType w:val="hybridMultilevel"/>
    <w:tmpl w:val="570838A6"/>
    <w:lvl w:ilvl="0" w:tplc="94225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8F1524"/>
    <w:multiLevelType w:val="hybridMultilevel"/>
    <w:tmpl w:val="9D00B8C2"/>
    <w:lvl w:ilvl="0" w:tplc="93AE1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95584"/>
    <w:multiLevelType w:val="hybridMultilevel"/>
    <w:tmpl w:val="155EF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E3EA5"/>
    <w:multiLevelType w:val="hybridMultilevel"/>
    <w:tmpl w:val="0240A48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11E5A"/>
    <w:multiLevelType w:val="hybridMultilevel"/>
    <w:tmpl w:val="72244C4C"/>
    <w:lvl w:ilvl="0" w:tplc="A6A8E9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93577"/>
    <w:multiLevelType w:val="hybridMultilevel"/>
    <w:tmpl w:val="C466F7B8"/>
    <w:lvl w:ilvl="0" w:tplc="DA602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44D5E"/>
    <w:multiLevelType w:val="hybridMultilevel"/>
    <w:tmpl w:val="52006090"/>
    <w:lvl w:ilvl="0" w:tplc="E208FF78">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141544">
    <w:abstractNumId w:val="18"/>
  </w:num>
  <w:num w:numId="2" w16cid:durableId="1129396337">
    <w:abstractNumId w:val="23"/>
  </w:num>
  <w:num w:numId="3" w16cid:durableId="1873491835">
    <w:abstractNumId w:val="7"/>
  </w:num>
  <w:num w:numId="4" w16cid:durableId="144201161">
    <w:abstractNumId w:val="24"/>
  </w:num>
  <w:num w:numId="5" w16cid:durableId="754012586">
    <w:abstractNumId w:val="14"/>
  </w:num>
  <w:num w:numId="6" w16cid:durableId="1205170036">
    <w:abstractNumId w:val="20"/>
  </w:num>
  <w:num w:numId="7" w16cid:durableId="1084767352">
    <w:abstractNumId w:val="22"/>
  </w:num>
  <w:num w:numId="8" w16cid:durableId="933589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0603218">
    <w:abstractNumId w:val="5"/>
  </w:num>
  <w:num w:numId="10" w16cid:durableId="2004355035">
    <w:abstractNumId w:val="8"/>
  </w:num>
  <w:num w:numId="11" w16cid:durableId="298724487">
    <w:abstractNumId w:val="2"/>
  </w:num>
  <w:num w:numId="12" w16cid:durableId="1077824205">
    <w:abstractNumId w:val="32"/>
  </w:num>
  <w:num w:numId="13" w16cid:durableId="1251691996">
    <w:abstractNumId w:val="4"/>
  </w:num>
  <w:num w:numId="14" w16cid:durableId="467892668">
    <w:abstractNumId w:val="11"/>
  </w:num>
  <w:num w:numId="15" w16cid:durableId="23362416">
    <w:abstractNumId w:val="23"/>
  </w:num>
  <w:num w:numId="16" w16cid:durableId="1731684501">
    <w:abstractNumId w:val="23"/>
  </w:num>
  <w:num w:numId="17" w16cid:durableId="1092971831">
    <w:abstractNumId w:val="23"/>
  </w:num>
  <w:num w:numId="18" w16cid:durableId="1097562041">
    <w:abstractNumId w:val="23"/>
  </w:num>
  <w:num w:numId="19" w16cid:durableId="277881366">
    <w:abstractNumId w:val="23"/>
  </w:num>
  <w:num w:numId="20" w16cid:durableId="401412720">
    <w:abstractNumId w:val="23"/>
  </w:num>
  <w:num w:numId="21" w16cid:durableId="1886945113">
    <w:abstractNumId w:val="23"/>
  </w:num>
  <w:num w:numId="22" w16cid:durableId="1232034517">
    <w:abstractNumId w:val="23"/>
  </w:num>
  <w:num w:numId="23" w16cid:durableId="923800310">
    <w:abstractNumId w:val="23"/>
  </w:num>
  <w:num w:numId="24" w16cid:durableId="560409510">
    <w:abstractNumId w:val="23"/>
  </w:num>
  <w:num w:numId="25" w16cid:durableId="1405764810">
    <w:abstractNumId w:val="23"/>
  </w:num>
  <w:num w:numId="26" w16cid:durableId="1348173335">
    <w:abstractNumId w:val="28"/>
  </w:num>
  <w:num w:numId="27" w16cid:durableId="1795757814">
    <w:abstractNumId w:val="23"/>
  </w:num>
  <w:num w:numId="28" w16cid:durableId="756366650">
    <w:abstractNumId w:val="10"/>
  </w:num>
  <w:num w:numId="29" w16cid:durableId="742920083">
    <w:abstractNumId w:val="15"/>
  </w:num>
  <w:num w:numId="30" w16cid:durableId="393431451">
    <w:abstractNumId w:val="0"/>
  </w:num>
  <w:num w:numId="31" w16cid:durableId="1898274818">
    <w:abstractNumId w:val="29"/>
  </w:num>
  <w:num w:numId="32" w16cid:durableId="2067146948">
    <w:abstractNumId w:val="1"/>
  </w:num>
  <w:num w:numId="33" w16cid:durableId="1535772275">
    <w:abstractNumId w:val="26"/>
  </w:num>
  <w:num w:numId="34" w16cid:durableId="2142261962">
    <w:abstractNumId w:val="30"/>
  </w:num>
  <w:num w:numId="35" w16cid:durableId="857545245">
    <w:abstractNumId w:val="3"/>
  </w:num>
  <w:num w:numId="36" w16cid:durableId="1293096499">
    <w:abstractNumId w:val="21"/>
  </w:num>
  <w:num w:numId="37" w16cid:durableId="1607544797">
    <w:abstractNumId w:val="19"/>
  </w:num>
  <w:num w:numId="38" w16cid:durableId="354960745">
    <w:abstractNumId w:val="33"/>
  </w:num>
  <w:num w:numId="39" w16cid:durableId="136411022">
    <w:abstractNumId w:val="6"/>
  </w:num>
  <w:num w:numId="40" w16cid:durableId="1950821240">
    <w:abstractNumId w:val="31"/>
  </w:num>
  <w:num w:numId="41" w16cid:durableId="1229802136">
    <w:abstractNumId w:val="25"/>
  </w:num>
  <w:num w:numId="42" w16cid:durableId="107605225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1018243">
    <w:abstractNumId w:val="16"/>
  </w:num>
  <w:num w:numId="44" w16cid:durableId="1336569030">
    <w:abstractNumId w:val="27"/>
  </w:num>
  <w:num w:numId="45" w16cid:durableId="2088531439">
    <w:abstractNumId w:val="13"/>
  </w:num>
  <w:num w:numId="46" w16cid:durableId="1591085115">
    <w:abstractNumId w:val="35"/>
  </w:num>
  <w:num w:numId="47" w16cid:durableId="1762214114">
    <w:abstractNumId w:val="17"/>
  </w:num>
  <w:num w:numId="48" w16cid:durableId="2628368">
    <w:abstractNumId w:val="34"/>
  </w:num>
  <w:num w:numId="49" w16cid:durableId="558857464">
    <w:abstractNumId w:val="9"/>
  </w:num>
  <w:num w:numId="50" w16cid:durableId="534470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QwNjW0MDIwtDC0MLBQ0lEKTi0uzszPAykwtKwFAJKOUSAtAAAA"/>
  </w:docVars>
  <w:rsids>
    <w:rsidRoot w:val="004C7414"/>
    <w:rsid w:val="00000D39"/>
    <w:rsid w:val="00004783"/>
    <w:rsid w:val="0000591E"/>
    <w:rsid w:val="00005987"/>
    <w:rsid w:val="00014C5E"/>
    <w:rsid w:val="00014E3B"/>
    <w:rsid w:val="00016D6A"/>
    <w:rsid w:val="000176CD"/>
    <w:rsid w:val="000227EA"/>
    <w:rsid w:val="00035D8F"/>
    <w:rsid w:val="0003721D"/>
    <w:rsid w:val="00037F40"/>
    <w:rsid w:val="0004420F"/>
    <w:rsid w:val="00050CF3"/>
    <w:rsid w:val="00052CF4"/>
    <w:rsid w:val="00053360"/>
    <w:rsid w:val="00053E2C"/>
    <w:rsid w:val="00062D94"/>
    <w:rsid w:val="00064A9E"/>
    <w:rsid w:val="000703A0"/>
    <w:rsid w:val="00075159"/>
    <w:rsid w:val="00077679"/>
    <w:rsid w:val="00082C9A"/>
    <w:rsid w:val="000844F4"/>
    <w:rsid w:val="00090E13"/>
    <w:rsid w:val="000956DF"/>
    <w:rsid w:val="000A042E"/>
    <w:rsid w:val="000A0A58"/>
    <w:rsid w:val="000A3F20"/>
    <w:rsid w:val="000A4CCA"/>
    <w:rsid w:val="000B3B04"/>
    <w:rsid w:val="000B74CA"/>
    <w:rsid w:val="000B756F"/>
    <w:rsid w:val="000C0398"/>
    <w:rsid w:val="000D5267"/>
    <w:rsid w:val="000D77C6"/>
    <w:rsid w:val="000E1AEE"/>
    <w:rsid w:val="000F7DF0"/>
    <w:rsid w:val="00102943"/>
    <w:rsid w:val="00106DBB"/>
    <w:rsid w:val="001122D7"/>
    <w:rsid w:val="00112B40"/>
    <w:rsid w:val="0011357F"/>
    <w:rsid w:val="00113BC0"/>
    <w:rsid w:val="001148D5"/>
    <w:rsid w:val="00117083"/>
    <w:rsid w:val="001170BF"/>
    <w:rsid w:val="00123DE8"/>
    <w:rsid w:val="00127751"/>
    <w:rsid w:val="00127A89"/>
    <w:rsid w:val="001325E5"/>
    <w:rsid w:val="00132702"/>
    <w:rsid w:val="00133C46"/>
    <w:rsid w:val="00133F41"/>
    <w:rsid w:val="00135321"/>
    <w:rsid w:val="00136F77"/>
    <w:rsid w:val="0013789E"/>
    <w:rsid w:val="001433E6"/>
    <w:rsid w:val="001447E8"/>
    <w:rsid w:val="00156145"/>
    <w:rsid w:val="001602CB"/>
    <w:rsid w:val="00160B9B"/>
    <w:rsid w:val="00165FDA"/>
    <w:rsid w:val="0017131D"/>
    <w:rsid w:val="0017150E"/>
    <w:rsid w:val="00174696"/>
    <w:rsid w:val="00174FA2"/>
    <w:rsid w:val="00175006"/>
    <w:rsid w:val="001830C0"/>
    <w:rsid w:val="00190207"/>
    <w:rsid w:val="0019083E"/>
    <w:rsid w:val="00191397"/>
    <w:rsid w:val="0019673C"/>
    <w:rsid w:val="001A1574"/>
    <w:rsid w:val="001A222D"/>
    <w:rsid w:val="001A54EF"/>
    <w:rsid w:val="001A6C69"/>
    <w:rsid w:val="001B21C1"/>
    <w:rsid w:val="001B23C8"/>
    <w:rsid w:val="001B3BA6"/>
    <w:rsid w:val="001B5A8C"/>
    <w:rsid w:val="001C4565"/>
    <w:rsid w:val="001C5DB0"/>
    <w:rsid w:val="001C71BA"/>
    <w:rsid w:val="001D2E5E"/>
    <w:rsid w:val="001D6521"/>
    <w:rsid w:val="001D6928"/>
    <w:rsid w:val="001D79D0"/>
    <w:rsid w:val="001F0FAE"/>
    <w:rsid w:val="001F1930"/>
    <w:rsid w:val="001F554A"/>
    <w:rsid w:val="001F55B2"/>
    <w:rsid w:val="002020EC"/>
    <w:rsid w:val="00206871"/>
    <w:rsid w:val="002103C0"/>
    <w:rsid w:val="002109A4"/>
    <w:rsid w:val="0021193A"/>
    <w:rsid w:val="002208FB"/>
    <w:rsid w:val="00221FF3"/>
    <w:rsid w:val="00224B08"/>
    <w:rsid w:val="00224BB4"/>
    <w:rsid w:val="00224C57"/>
    <w:rsid w:val="00226E6E"/>
    <w:rsid w:val="00226EDE"/>
    <w:rsid w:val="00231401"/>
    <w:rsid w:val="002342B3"/>
    <w:rsid w:val="00235F5B"/>
    <w:rsid w:val="00240FC2"/>
    <w:rsid w:val="00242A42"/>
    <w:rsid w:val="00246A75"/>
    <w:rsid w:val="00252A1D"/>
    <w:rsid w:val="00252E0B"/>
    <w:rsid w:val="0025353E"/>
    <w:rsid w:val="00257BA0"/>
    <w:rsid w:val="00257CA5"/>
    <w:rsid w:val="00257DE5"/>
    <w:rsid w:val="00270BC6"/>
    <w:rsid w:val="002725A1"/>
    <w:rsid w:val="002740BF"/>
    <w:rsid w:val="00275C46"/>
    <w:rsid w:val="002767F8"/>
    <w:rsid w:val="002776DF"/>
    <w:rsid w:val="00277BE0"/>
    <w:rsid w:val="00277D80"/>
    <w:rsid w:val="00285622"/>
    <w:rsid w:val="00286ADB"/>
    <w:rsid w:val="002937BD"/>
    <w:rsid w:val="002938DF"/>
    <w:rsid w:val="0029613D"/>
    <w:rsid w:val="00296171"/>
    <w:rsid w:val="002B7036"/>
    <w:rsid w:val="002B7B4F"/>
    <w:rsid w:val="002C0756"/>
    <w:rsid w:val="002C0E47"/>
    <w:rsid w:val="002C3606"/>
    <w:rsid w:val="002C51BA"/>
    <w:rsid w:val="002C5D45"/>
    <w:rsid w:val="002D2214"/>
    <w:rsid w:val="002D33E6"/>
    <w:rsid w:val="002D67FB"/>
    <w:rsid w:val="002D794D"/>
    <w:rsid w:val="002E08A7"/>
    <w:rsid w:val="002E1F24"/>
    <w:rsid w:val="002E339D"/>
    <w:rsid w:val="002E5A8F"/>
    <w:rsid w:val="002F0CD5"/>
    <w:rsid w:val="002F3DA8"/>
    <w:rsid w:val="00307AE1"/>
    <w:rsid w:val="00311295"/>
    <w:rsid w:val="00312156"/>
    <w:rsid w:val="00315FB2"/>
    <w:rsid w:val="00317097"/>
    <w:rsid w:val="0032324F"/>
    <w:rsid w:val="00323DCA"/>
    <w:rsid w:val="003251F0"/>
    <w:rsid w:val="00325D5E"/>
    <w:rsid w:val="00326CA4"/>
    <w:rsid w:val="00327691"/>
    <w:rsid w:val="00327F54"/>
    <w:rsid w:val="0033417C"/>
    <w:rsid w:val="003348A9"/>
    <w:rsid w:val="003362C1"/>
    <w:rsid w:val="003420AB"/>
    <w:rsid w:val="003475E9"/>
    <w:rsid w:val="00350509"/>
    <w:rsid w:val="003508AB"/>
    <w:rsid w:val="00353D82"/>
    <w:rsid w:val="0035413E"/>
    <w:rsid w:val="0035488C"/>
    <w:rsid w:val="003554ED"/>
    <w:rsid w:val="00373074"/>
    <w:rsid w:val="003732DD"/>
    <w:rsid w:val="00375F2B"/>
    <w:rsid w:val="00376433"/>
    <w:rsid w:val="00380104"/>
    <w:rsid w:val="00380450"/>
    <w:rsid w:val="00382D15"/>
    <w:rsid w:val="00386606"/>
    <w:rsid w:val="0039441D"/>
    <w:rsid w:val="003A4014"/>
    <w:rsid w:val="003A7717"/>
    <w:rsid w:val="003B1ACE"/>
    <w:rsid w:val="003B67F7"/>
    <w:rsid w:val="003B7BF8"/>
    <w:rsid w:val="003C5A2F"/>
    <w:rsid w:val="003D2376"/>
    <w:rsid w:val="003D39D9"/>
    <w:rsid w:val="003D507A"/>
    <w:rsid w:val="003D5D63"/>
    <w:rsid w:val="003E0838"/>
    <w:rsid w:val="003E6740"/>
    <w:rsid w:val="003E7D79"/>
    <w:rsid w:val="003F0E3F"/>
    <w:rsid w:val="003F18C7"/>
    <w:rsid w:val="0040136A"/>
    <w:rsid w:val="00403A15"/>
    <w:rsid w:val="004108C6"/>
    <w:rsid w:val="004113F0"/>
    <w:rsid w:val="00412B99"/>
    <w:rsid w:val="004132ED"/>
    <w:rsid w:val="00413FA8"/>
    <w:rsid w:val="004152D7"/>
    <w:rsid w:val="00423F00"/>
    <w:rsid w:val="00427595"/>
    <w:rsid w:val="00432F84"/>
    <w:rsid w:val="004365F3"/>
    <w:rsid w:val="00444EE5"/>
    <w:rsid w:val="0044652E"/>
    <w:rsid w:val="00453549"/>
    <w:rsid w:val="004550CC"/>
    <w:rsid w:val="00455222"/>
    <w:rsid w:val="00455D7C"/>
    <w:rsid w:val="00455F3E"/>
    <w:rsid w:val="00463012"/>
    <w:rsid w:val="00463530"/>
    <w:rsid w:val="00463CA5"/>
    <w:rsid w:val="00466D2F"/>
    <w:rsid w:val="0046741F"/>
    <w:rsid w:val="00471D24"/>
    <w:rsid w:val="004720B2"/>
    <w:rsid w:val="0047352F"/>
    <w:rsid w:val="00476055"/>
    <w:rsid w:val="00476A3A"/>
    <w:rsid w:val="00483160"/>
    <w:rsid w:val="00483976"/>
    <w:rsid w:val="00487334"/>
    <w:rsid w:val="00490E58"/>
    <w:rsid w:val="00492F3B"/>
    <w:rsid w:val="00496BCF"/>
    <w:rsid w:val="004A3D34"/>
    <w:rsid w:val="004A553F"/>
    <w:rsid w:val="004A7909"/>
    <w:rsid w:val="004B0CAB"/>
    <w:rsid w:val="004B1891"/>
    <w:rsid w:val="004B52A6"/>
    <w:rsid w:val="004B70DC"/>
    <w:rsid w:val="004C406C"/>
    <w:rsid w:val="004C4073"/>
    <w:rsid w:val="004C62A5"/>
    <w:rsid w:val="004C7414"/>
    <w:rsid w:val="004E02F9"/>
    <w:rsid w:val="004E651D"/>
    <w:rsid w:val="004E786F"/>
    <w:rsid w:val="004F0DB5"/>
    <w:rsid w:val="004F1D63"/>
    <w:rsid w:val="004F2014"/>
    <w:rsid w:val="004F23CA"/>
    <w:rsid w:val="004F2A1A"/>
    <w:rsid w:val="004F3FE4"/>
    <w:rsid w:val="004F592D"/>
    <w:rsid w:val="004F6D9B"/>
    <w:rsid w:val="00502265"/>
    <w:rsid w:val="0050389F"/>
    <w:rsid w:val="005048C9"/>
    <w:rsid w:val="00507B60"/>
    <w:rsid w:val="00507E2E"/>
    <w:rsid w:val="00513167"/>
    <w:rsid w:val="00513F2A"/>
    <w:rsid w:val="00514C25"/>
    <w:rsid w:val="00531DA9"/>
    <w:rsid w:val="00531F23"/>
    <w:rsid w:val="00536EC9"/>
    <w:rsid w:val="00540111"/>
    <w:rsid w:val="00540DD3"/>
    <w:rsid w:val="005419F4"/>
    <w:rsid w:val="00543A71"/>
    <w:rsid w:val="0054513B"/>
    <w:rsid w:val="005463D8"/>
    <w:rsid w:val="005479D0"/>
    <w:rsid w:val="00554CA9"/>
    <w:rsid w:val="00556376"/>
    <w:rsid w:val="005646B4"/>
    <w:rsid w:val="005712EA"/>
    <w:rsid w:val="00574EBE"/>
    <w:rsid w:val="00575727"/>
    <w:rsid w:val="0057727F"/>
    <w:rsid w:val="00584B01"/>
    <w:rsid w:val="00586A9F"/>
    <w:rsid w:val="005877CC"/>
    <w:rsid w:val="00596A34"/>
    <w:rsid w:val="00597D34"/>
    <w:rsid w:val="005A0130"/>
    <w:rsid w:val="005A23AF"/>
    <w:rsid w:val="005A4246"/>
    <w:rsid w:val="005A7201"/>
    <w:rsid w:val="005A78A0"/>
    <w:rsid w:val="005B33C5"/>
    <w:rsid w:val="005B5108"/>
    <w:rsid w:val="005B7CAC"/>
    <w:rsid w:val="005C08A5"/>
    <w:rsid w:val="005C3F8E"/>
    <w:rsid w:val="005C5283"/>
    <w:rsid w:val="005D01B7"/>
    <w:rsid w:val="005D02D7"/>
    <w:rsid w:val="005D125B"/>
    <w:rsid w:val="005D159B"/>
    <w:rsid w:val="005D2604"/>
    <w:rsid w:val="005D2A0C"/>
    <w:rsid w:val="005D3970"/>
    <w:rsid w:val="005D43DA"/>
    <w:rsid w:val="005D49CC"/>
    <w:rsid w:val="005D4AC0"/>
    <w:rsid w:val="005D6764"/>
    <w:rsid w:val="005D6E50"/>
    <w:rsid w:val="005E1BEA"/>
    <w:rsid w:val="005E35B5"/>
    <w:rsid w:val="005E5BE0"/>
    <w:rsid w:val="005F3B56"/>
    <w:rsid w:val="005F6342"/>
    <w:rsid w:val="005F6F3D"/>
    <w:rsid w:val="00600E2E"/>
    <w:rsid w:val="00605FE0"/>
    <w:rsid w:val="00610848"/>
    <w:rsid w:val="00611B03"/>
    <w:rsid w:val="00613543"/>
    <w:rsid w:val="00613D5E"/>
    <w:rsid w:val="00620774"/>
    <w:rsid w:val="00620C29"/>
    <w:rsid w:val="006317EE"/>
    <w:rsid w:val="006335FC"/>
    <w:rsid w:val="0063557A"/>
    <w:rsid w:val="00636D19"/>
    <w:rsid w:val="00641E2F"/>
    <w:rsid w:val="0064321D"/>
    <w:rsid w:val="00643406"/>
    <w:rsid w:val="00651ECC"/>
    <w:rsid w:val="006551AB"/>
    <w:rsid w:val="006558ED"/>
    <w:rsid w:val="00662A8C"/>
    <w:rsid w:val="00662D44"/>
    <w:rsid w:val="0066451D"/>
    <w:rsid w:val="006667AB"/>
    <w:rsid w:val="006707D0"/>
    <w:rsid w:val="00687E55"/>
    <w:rsid w:val="006963E2"/>
    <w:rsid w:val="006A2C0A"/>
    <w:rsid w:val="006A72F0"/>
    <w:rsid w:val="006B5FB5"/>
    <w:rsid w:val="006C1028"/>
    <w:rsid w:val="006C3279"/>
    <w:rsid w:val="006D3B1D"/>
    <w:rsid w:val="006D3CE3"/>
    <w:rsid w:val="006D54F4"/>
    <w:rsid w:val="006D7922"/>
    <w:rsid w:val="006E454E"/>
    <w:rsid w:val="006E7D21"/>
    <w:rsid w:val="006F047F"/>
    <w:rsid w:val="006F0930"/>
    <w:rsid w:val="006F305B"/>
    <w:rsid w:val="0071492A"/>
    <w:rsid w:val="0071760F"/>
    <w:rsid w:val="0072116E"/>
    <w:rsid w:val="00724211"/>
    <w:rsid w:val="00727079"/>
    <w:rsid w:val="00727BF5"/>
    <w:rsid w:val="00731637"/>
    <w:rsid w:val="00732D02"/>
    <w:rsid w:val="00733D2D"/>
    <w:rsid w:val="00735F31"/>
    <w:rsid w:val="007427AC"/>
    <w:rsid w:val="00743EF5"/>
    <w:rsid w:val="0074648A"/>
    <w:rsid w:val="00750836"/>
    <w:rsid w:val="007528BD"/>
    <w:rsid w:val="007545C1"/>
    <w:rsid w:val="0075681D"/>
    <w:rsid w:val="00756EE3"/>
    <w:rsid w:val="00762980"/>
    <w:rsid w:val="007679FA"/>
    <w:rsid w:val="0077165D"/>
    <w:rsid w:val="00777CCB"/>
    <w:rsid w:val="00784A9B"/>
    <w:rsid w:val="007853F4"/>
    <w:rsid w:val="007936CC"/>
    <w:rsid w:val="007964F4"/>
    <w:rsid w:val="00797852"/>
    <w:rsid w:val="00797C92"/>
    <w:rsid w:val="007A1EAF"/>
    <w:rsid w:val="007B4B18"/>
    <w:rsid w:val="007B6C20"/>
    <w:rsid w:val="007C0D0A"/>
    <w:rsid w:val="007C1E1C"/>
    <w:rsid w:val="007C3F83"/>
    <w:rsid w:val="007C42DA"/>
    <w:rsid w:val="007C4D96"/>
    <w:rsid w:val="007C5E63"/>
    <w:rsid w:val="007D5AD6"/>
    <w:rsid w:val="007D7C85"/>
    <w:rsid w:val="007F168C"/>
    <w:rsid w:val="007F517A"/>
    <w:rsid w:val="007F526D"/>
    <w:rsid w:val="007F59E4"/>
    <w:rsid w:val="007F7D41"/>
    <w:rsid w:val="00805C9A"/>
    <w:rsid w:val="00806928"/>
    <w:rsid w:val="00807016"/>
    <w:rsid w:val="00815F17"/>
    <w:rsid w:val="0082754F"/>
    <w:rsid w:val="00835A7A"/>
    <w:rsid w:val="00836127"/>
    <w:rsid w:val="00837D42"/>
    <w:rsid w:val="0084269C"/>
    <w:rsid w:val="00854A20"/>
    <w:rsid w:val="008620A2"/>
    <w:rsid w:val="008643A9"/>
    <w:rsid w:val="00870E34"/>
    <w:rsid w:val="008738E6"/>
    <w:rsid w:val="00873CD5"/>
    <w:rsid w:val="008748AD"/>
    <w:rsid w:val="00877DF5"/>
    <w:rsid w:val="008864CF"/>
    <w:rsid w:val="00887561"/>
    <w:rsid w:val="008904D0"/>
    <w:rsid w:val="00893805"/>
    <w:rsid w:val="008A251E"/>
    <w:rsid w:val="008A306E"/>
    <w:rsid w:val="008A3DB8"/>
    <w:rsid w:val="008A4D96"/>
    <w:rsid w:val="008B1B17"/>
    <w:rsid w:val="008B2A34"/>
    <w:rsid w:val="008B665D"/>
    <w:rsid w:val="008C1904"/>
    <w:rsid w:val="008C351C"/>
    <w:rsid w:val="008C6C27"/>
    <w:rsid w:val="008D043D"/>
    <w:rsid w:val="008D4CA0"/>
    <w:rsid w:val="008E35B6"/>
    <w:rsid w:val="008E5B42"/>
    <w:rsid w:val="008F202A"/>
    <w:rsid w:val="008F5B21"/>
    <w:rsid w:val="008F7F49"/>
    <w:rsid w:val="00902F2A"/>
    <w:rsid w:val="00904703"/>
    <w:rsid w:val="00906E9D"/>
    <w:rsid w:val="00920945"/>
    <w:rsid w:val="00921B78"/>
    <w:rsid w:val="00926C44"/>
    <w:rsid w:val="0093095F"/>
    <w:rsid w:val="00931C2D"/>
    <w:rsid w:val="00932C09"/>
    <w:rsid w:val="00935CA4"/>
    <w:rsid w:val="009368EB"/>
    <w:rsid w:val="00936962"/>
    <w:rsid w:val="00940BFD"/>
    <w:rsid w:val="00944472"/>
    <w:rsid w:val="00945B4D"/>
    <w:rsid w:val="00952593"/>
    <w:rsid w:val="00953FBE"/>
    <w:rsid w:val="00960496"/>
    <w:rsid w:val="00962D83"/>
    <w:rsid w:val="009648A4"/>
    <w:rsid w:val="00964A1E"/>
    <w:rsid w:val="00964C6C"/>
    <w:rsid w:val="00971711"/>
    <w:rsid w:val="00975316"/>
    <w:rsid w:val="00976D18"/>
    <w:rsid w:val="00990F29"/>
    <w:rsid w:val="009919CE"/>
    <w:rsid w:val="00992319"/>
    <w:rsid w:val="009933F8"/>
    <w:rsid w:val="009A165F"/>
    <w:rsid w:val="009A536D"/>
    <w:rsid w:val="009B02E3"/>
    <w:rsid w:val="009B400A"/>
    <w:rsid w:val="009C0C32"/>
    <w:rsid w:val="009C0EC0"/>
    <w:rsid w:val="009C2837"/>
    <w:rsid w:val="009D03CB"/>
    <w:rsid w:val="009E5CEE"/>
    <w:rsid w:val="009E66EF"/>
    <w:rsid w:val="009F476C"/>
    <w:rsid w:val="009F75CC"/>
    <w:rsid w:val="00A07426"/>
    <w:rsid w:val="00A11704"/>
    <w:rsid w:val="00A166EE"/>
    <w:rsid w:val="00A214EC"/>
    <w:rsid w:val="00A2202D"/>
    <w:rsid w:val="00A230C5"/>
    <w:rsid w:val="00A31CFE"/>
    <w:rsid w:val="00A337D5"/>
    <w:rsid w:val="00A34853"/>
    <w:rsid w:val="00A3618A"/>
    <w:rsid w:val="00A3620F"/>
    <w:rsid w:val="00A457B5"/>
    <w:rsid w:val="00A471B1"/>
    <w:rsid w:val="00A538B8"/>
    <w:rsid w:val="00A54F6B"/>
    <w:rsid w:val="00A5772B"/>
    <w:rsid w:val="00A60F32"/>
    <w:rsid w:val="00A62991"/>
    <w:rsid w:val="00A632EF"/>
    <w:rsid w:val="00A64D26"/>
    <w:rsid w:val="00A72133"/>
    <w:rsid w:val="00A74E04"/>
    <w:rsid w:val="00A75443"/>
    <w:rsid w:val="00A75A5E"/>
    <w:rsid w:val="00A767E5"/>
    <w:rsid w:val="00A77DE1"/>
    <w:rsid w:val="00A83C17"/>
    <w:rsid w:val="00A840E5"/>
    <w:rsid w:val="00A86A87"/>
    <w:rsid w:val="00A93E95"/>
    <w:rsid w:val="00AA10EA"/>
    <w:rsid w:val="00AA2F3B"/>
    <w:rsid w:val="00AA60FB"/>
    <w:rsid w:val="00AA7D9F"/>
    <w:rsid w:val="00AB01F4"/>
    <w:rsid w:val="00AB67AE"/>
    <w:rsid w:val="00AC1A94"/>
    <w:rsid w:val="00AC1F80"/>
    <w:rsid w:val="00AC3707"/>
    <w:rsid w:val="00AC3D95"/>
    <w:rsid w:val="00AC44E8"/>
    <w:rsid w:val="00AD6BA1"/>
    <w:rsid w:val="00AF0ED4"/>
    <w:rsid w:val="00AF1B96"/>
    <w:rsid w:val="00AF218E"/>
    <w:rsid w:val="00AF23A8"/>
    <w:rsid w:val="00B227C3"/>
    <w:rsid w:val="00B23730"/>
    <w:rsid w:val="00B23DB3"/>
    <w:rsid w:val="00B37BC1"/>
    <w:rsid w:val="00B439AE"/>
    <w:rsid w:val="00B51FB7"/>
    <w:rsid w:val="00B52F85"/>
    <w:rsid w:val="00B574B8"/>
    <w:rsid w:val="00B647BE"/>
    <w:rsid w:val="00B66098"/>
    <w:rsid w:val="00B8044E"/>
    <w:rsid w:val="00B844FA"/>
    <w:rsid w:val="00B8734D"/>
    <w:rsid w:val="00B92578"/>
    <w:rsid w:val="00B93287"/>
    <w:rsid w:val="00B96C67"/>
    <w:rsid w:val="00BA0B06"/>
    <w:rsid w:val="00BA0CE9"/>
    <w:rsid w:val="00BA3EF1"/>
    <w:rsid w:val="00BB0547"/>
    <w:rsid w:val="00BB42D0"/>
    <w:rsid w:val="00BC3E41"/>
    <w:rsid w:val="00BC5D04"/>
    <w:rsid w:val="00BC7C5F"/>
    <w:rsid w:val="00BD1A7F"/>
    <w:rsid w:val="00BD33A0"/>
    <w:rsid w:val="00BE20E9"/>
    <w:rsid w:val="00BE66A6"/>
    <w:rsid w:val="00BE6F80"/>
    <w:rsid w:val="00BF3520"/>
    <w:rsid w:val="00BF49A4"/>
    <w:rsid w:val="00C03172"/>
    <w:rsid w:val="00C03FB7"/>
    <w:rsid w:val="00C1434C"/>
    <w:rsid w:val="00C15FD2"/>
    <w:rsid w:val="00C16369"/>
    <w:rsid w:val="00C166B5"/>
    <w:rsid w:val="00C17310"/>
    <w:rsid w:val="00C2006F"/>
    <w:rsid w:val="00C228DD"/>
    <w:rsid w:val="00C266D9"/>
    <w:rsid w:val="00C34219"/>
    <w:rsid w:val="00C45C22"/>
    <w:rsid w:val="00C47741"/>
    <w:rsid w:val="00C50158"/>
    <w:rsid w:val="00C5175F"/>
    <w:rsid w:val="00C54AA5"/>
    <w:rsid w:val="00C62FD1"/>
    <w:rsid w:val="00C665BC"/>
    <w:rsid w:val="00C675B5"/>
    <w:rsid w:val="00C7283B"/>
    <w:rsid w:val="00C745B7"/>
    <w:rsid w:val="00C8010C"/>
    <w:rsid w:val="00C80B44"/>
    <w:rsid w:val="00C81879"/>
    <w:rsid w:val="00C83811"/>
    <w:rsid w:val="00C8725A"/>
    <w:rsid w:val="00C92266"/>
    <w:rsid w:val="00C93630"/>
    <w:rsid w:val="00CA1213"/>
    <w:rsid w:val="00CA25E4"/>
    <w:rsid w:val="00CA5EA5"/>
    <w:rsid w:val="00CB0479"/>
    <w:rsid w:val="00CB1A9C"/>
    <w:rsid w:val="00CB270F"/>
    <w:rsid w:val="00CB4689"/>
    <w:rsid w:val="00CC0C3D"/>
    <w:rsid w:val="00CC1C6E"/>
    <w:rsid w:val="00CC3130"/>
    <w:rsid w:val="00CC645B"/>
    <w:rsid w:val="00CC6B06"/>
    <w:rsid w:val="00CC6E25"/>
    <w:rsid w:val="00CD053D"/>
    <w:rsid w:val="00CD26E9"/>
    <w:rsid w:val="00CD43A5"/>
    <w:rsid w:val="00CD6A84"/>
    <w:rsid w:val="00CD6AD0"/>
    <w:rsid w:val="00CE22F3"/>
    <w:rsid w:val="00CE51C7"/>
    <w:rsid w:val="00CE69B4"/>
    <w:rsid w:val="00CF017E"/>
    <w:rsid w:val="00CF2457"/>
    <w:rsid w:val="00CF288F"/>
    <w:rsid w:val="00CF5CD1"/>
    <w:rsid w:val="00CF6CBF"/>
    <w:rsid w:val="00D04CB8"/>
    <w:rsid w:val="00D06CED"/>
    <w:rsid w:val="00D07B91"/>
    <w:rsid w:val="00D07F3C"/>
    <w:rsid w:val="00D11695"/>
    <w:rsid w:val="00D11711"/>
    <w:rsid w:val="00D11E47"/>
    <w:rsid w:val="00D12959"/>
    <w:rsid w:val="00D135D8"/>
    <w:rsid w:val="00D144C5"/>
    <w:rsid w:val="00D1709B"/>
    <w:rsid w:val="00D20880"/>
    <w:rsid w:val="00D214B4"/>
    <w:rsid w:val="00D2393A"/>
    <w:rsid w:val="00D25DF2"/>
    <w:rsid w:val="00D266AC"/>
    <w:rsid w:val="00D37166"/>
    <w:rsid w:val="00D4157A"/>
    <w:rsid w:val="00D41E11"/>
    <w:rsid w:val="00D460AE"/>
    <w:rsid w:val="00D57907"/>
    <w:rsid w:val="00D61C9E"/>
    <w:rsid w:val="00D645FC"/>
    <w:rsid w:val="00D64A96"/>
    <w:rsid w:val="00D675F5"/>
    <w:rsid w:val="00D67876"/>
    <w:rsid w:val="00D8198A"/>
    <w:rsid w:val="00D83E2A"/>
    <w:rsid w:val="00D84E49"/>
    <w:rsid w:val="00D94F2B"/>
    <w:rsid w:val="00DA3B86"/>
    <w:rsid w:val="00DA7941"/>
    <w:rsid w:val="00DB3506"/>
    <w:rsid w:val="00DB7D20"/>
    <w:rsid w:val="00DC0EAE"/>
    <w:rsid w:val="00DC5117"/>
    <w:rsid w:val="00DC6C8B"/>
    <w:rsid w:val="00DD48F4"/>
    <w:rsid w:val="00DD680F"/>
    <w:rsid w:val="00DE3E03"/>
    <w:rsid w:val="00DE6EDF"/>
    <w:rsid w:val="00DF03C8"/>
    <w:rsid w:val="00DF308E"/>
    <w:rsid w:val="00DF5DBF"/>
    <w:rsid w:val="00DF7193"/>
    <w:rsid w:val="00E03078"/>
    <w:rsid w:val="00E034F4"/>
    <w:rsid w:val="00E12ED5"/>
    <w:rsid w:val="00E13513"/>
    <w:rsid w:val="00E30F9C"/>
    <w:rsid w:val="00E34D0D"/>
    <w:rsid w:val="00E36B34"/>
    <w:rsid w:val="00E41FAD"/>
    <w:rsid w:val="00E4342E"/>
    <w:rsid w:val="00E46941"/>
    <w:rsid w:val="00E56D04"/>
    <w:rsid w:val="00E577D5"/>
    <w:rsid w:val="00E61BE3"/>
    <w:rsid w:val="00E64973"/>
    <w:rsid w:val="00E70C39"/>
    <w:rsid w:val="00E712AF"/>
    <w:rsid w:val="00E71525"/>
    <w:rsid w:val="00E7703E"/>
    <w:rsid w:val="00E77B68"/>
    <w:rsid w:val="00E8070B"/>
    <w:rsid w:val="00E82530"/>
    <w:rsid w:val="00E84DC1"/>
    <w:rsid w:val="00E85280"/>
    <w:rsid w:val="00E9080E"/>
    <w:rsid w:val="00E925AB"/>
    <w:rsid w:val="00E92D4F"/>
    <w:rsid w:val="00E9443D"/>
    <w:rsid w:val="00E94B4A"/>
    <w:rsid w:val="00EA1CA3"/>
    <w:rsid w:val="00EA3E69"/>
    <w:rsid w:val="00EA5F0E"/>
    <w:rsid w:val="00EA694B"/>
    <w:rsid w:val="00EB1264"/>
    <w:rsid w:val="00EB2068"/>
    <w:rsid w:val="00EB31A7"/>
    <w:rsid w:val="00EB372E"/>
    <w:rsid w:val="00EC0ADF"/>
    <w:rsid w:val="00EC1896"/>
    <w:rsid w:val="00EC2EDF"/>
    <w:rsid w:val="00ED099F"/>
    <w:rsid w:val="00ED3B18"/>
    <w:rsid w:val="00ED6A00"/>
    <w:rsid w:val="00EE0B4F"/>
    <w:rsid w:val="00EE18E7"/>
    <w:rsid w:val="00EE27BB"/>
    <w:rsid w:val="00EE3F74"/>
    <w:rsid w:val="00EF35FB"/>
    <w:rsid w:val="00EF53B7"/>
    <w:rsid w:val="00EF5F3B"/>
    <w:rsid w:val="00F02D27"/>
    <w:rsid w:val="00F06224"/>
    <w:rsid w:val="00F07076"/>
    <w:rsid w:val="00F10D34"/>
    <w:rsid w:val="00F10D43"/>
    <w:rsid w:val="00F11E3A"/>
    <w:rsid w:val="00F152DE"/>
    <w:rsid w:val="00F16311"/>
    <w:rsid w:val="00F23059"/>
    <w:rsid w:val="00F30DA5"/>
    <w:rsid w:val="00F32EAD"/>
    <w:rsid w:val="00F408A8"/>
    <w:rsid w:val="00F43237"/>
    <w:rsid w:val="00F44EA8"/>
    <w:rsid w:val="00F464A1"/>
    <w:rsid w:val="00F573BA"/>
    <w:rsid w:val="00F62E16"/>
    <w:rsid w:val="00F679AA"/>
    <w:rsid w:val="00F73F63"/>
    <w:rsid w:val="00F80BC1"/>
    <w:rsid w:val="00F83EA8"/>
    <w:rsid w:val="00F849C3"/>
    <w:rsid w:val="00F85110"/>
    <w:rsid w:val="00F85DD6"/>
    <w:rsid w:val="00F8649A"/>
    <w:rsid w:val="00F87875"/>
    <w:rsid w:val="00F90CD5"/>
    <w:rsid w:val="00F95449"/>
    <w:rsid w:val="00F958CD"/>
    <w:rsid w:val="00F9706E"/>
    <w:rsid w:val="00FA06FB"/>
    <w:rsid w:val="00FA1059"/>
    <w:rsid w:val="00FA4200"/>
    <w:rsid w:val="00FB0D66"/>
    <w:rsid w:val="00FB1DD9"/>
    <w:rsid w:val="00FB2062"/>
    <w:rsid w:val="00FB2F32"/>
    <w:rsid w:val="00FB61AD"/>
    <w:rsid w:val="00FC0A51"/>
    <w:rsid w:val="00FC4FFA"/>
    <w:rsid w:val="00FC67D0"/>
    <w:rsid w:val="00FD0DBB"/>
    <w:rsid w:val="00FD0E26"/>
    <w:rsid w:val="00FD3690"/>
    <w:rsid w:val="00FD3AF7"/>
    <w:rsid w:val="00FD7D29"/>
    <w:rsid w:val="00FE4D8B"/>
    <w:rsid w:val="00FE53C6"/>
    <w:rsid w:val="00FF4190"/>
    <w:rsid w:val="00FF6D88"/>
    <w:rsid w:val="00FF73C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2DEB38"/>
  <w15:docId w15:val="{5671508F-E52C-4A1B-A9F9-A0FE4625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99"/>
    <w:pPr>
      <w:spacing w:after="240" w:line="288" w:lineRule="auto"/>
    </w:pPr>
    <w:rPr>
      <w:rFonts w:ascii="Arial" w:hAnsi="Arial"/>
      <w:szCs w:val="24"/>
      <w:lang w:val="en-GB"/>
    </w:rPr>
  </w:style>
  <w:style w:type="paragraph" w:styleId="Heading1">
    <w:name w:val="heading 1"/>
    <w:basedOn w:val="Normal"/>
    <w:next w:val="Normal"/>
    <w:qFormat/>
    <w:rsid w:val="00EC1896"/>
    <w:pPr>
      <w:widowControl w:val="0"/>
      <w:numPr>
        <w:numId w:val="49"/>
      </w:numPr>
      <w:spacing w:before="360" w:after="80" w:line="312" w:lineRule="auto"/>
      <w:ind w:hanging="720"/>
      <w:outlineLvl w:val="0"/>
    </w:pPr>
    <w:rPr>
      <w:rFonts w:ascii="Century Gothic" w:hAnsi="Century Gothic" w:cs="Arial"/>
      <w:b/>
      <w:bCs/>
      <w:caps/>
      <w:color w:val="2B3A57"/>
      <w:sz w:val="26"/>
      <w:szCs w:val="26"/>
      <w:lang w:val="en-CA"/>
    </w:rPr>
  </w:style>
  <w:style w:type="paragraph" w:styleId="Heading2">
    <w:name w:val="heading 2"/>
    <w:basedOn w:val="Normal"/>
    <w:next w:val="Normal"/>
    <w:qFormat/>
    <w:rsid w:val="006E7D21"/>
    <w:pPr>
      <w:keepNext/>
      <w:numPr>
        <w:ilvl w:val="1"/>
        <w:numId w:val="2"/>
      </w:numPr>
      <w:outlineLvl w:val="1"/>
    </w:pPr>
    <w:rPr>
      <w:rFonts w:cs="Arial"/>
      <w:b/>
      <w:bCs/>
      <w:iCs/>
      <w:color w:val="005B82"/>
      <w:sz w:val="22"/>
      <w:szCs w:val="28"/>
    </w:rPr>
  </w:style>
  <w:style w:type="paragraph" w:styleId="Heading3">
    <w:name w:val="heading 3"/>
    <w:basedOn w:val="Normal"/>
    <w:next w:val="Normal"/>
    <w:qFormat/>
    <w:rsid w:val="006E7D21"/>
    <w:pPr>
      <w:keepNext/>
      <w:numPr>
        <w:ilvl w:val="2"/>
        <w:numId w:val="2"/>
      </w:numPr>
      <w:outlineLvl w:val="2"/>
    </w:pPr>
    <w:rPr>
      <w:rFonts w:cs="Arial"/>
      <w:b/>
      <w:i/>
      <w:color w:val="005B82"/>
      <w:lang w:val="en-CA"/>
    </w:rPr>
  </w:style>
  <w:style w:type="paragraph" w:styleId="Heading4">
    <w:name w:val="heading 4"/>
    <w:basedOn w:val="Normal"/>
    <w:next w:val="Normal"/>
    <w:qFormat/>
    <w:rsid w:val="00471D24"/>
    <w:pPr>
      <w:keepNext/>
      <w:numPr>
        <w:ilvl w:val="3"/>
        <w:numId w:val="2"/>
      </w:numPr>
      <w:jc w:val="center"/>
      <w:outlineLvl w:val="3"/>
    </w:pPr>
    <w:rPr>
      <w:b/>
      <w:bCs/>
    </w:rPr>
  </w:style>
  <w:style w:type="paragraph" w:styleId="Heading5">
    <w:name w:val="heading 5"/>
    <w:basedOn w:val="Normal"/>
    <w:next w:val="Normal"/>
    <w:qFormat/>
    <w:rsid w:val="00471D24"/>
    <w:pPr>
      <w:keepNext/>
      <w:numPr>
        <w:ilvl w:val="4"/>
        <w:numId w:val="2"/>
      </w:numPr>
      <w:outlineLvl w:val="4"/>
    </w:pPr>
    <w:rPr>
      <w:rFonts w:cs="Arial"/>
      <w:b/>
      <w:bCs/>
      <w:sz w:val="28"/>
      <w:lang w:val="en-CA"/>
    </w:rPr>
  </w:style>
  <w:style w:type="paragraph" w:styleId="Heading6">
    <w:name w:val="heading 6"/>
    <w:basedOn w:val="Normal"/>
    <w:next w:val="Normal"/>
    <w:link w:val="Heading6Char"/>
    <w:uiPriority w:val="9"/>
    <w:qFormat/>
    <w:rsid w:val="00412B99"/>
    <w:pPr>
      <w:numPr>
        <w:ilvl w:val="5"/>
        <w:numId w:val="2"/>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412B99"/>
    <w:pPr>
      <w:numPr>
        <w:ilvl w:val="6"/>
        <w:numId w:val="2"/>
      </w:numPr>
      <w:spacing w:before="240" w:after="60"/>
      <w:outlineLvl w:val="6"/>
    </w:pPr>
    <w:rPr>
      <w:rFonts w:ascii="Calibri" w:eastAsia="Times New Roman" w:hAnsi="Calibri"/>
      <w:sz w:val="24"/>
    </w:rPr>
  </w:style>
  <w:style w:type="paragraph" w:styleId="Heading8">
    <w:name w:val="heading 8"/>
    <w:basedOn w:val="Normal"/>
    <w:next w:val="Normal"/>
    <w:link w:val="Heading8Char"/>
    <w:uiPriority w:val="9"/>
    <w:qFormat/>
    <w:rsid w:val="00412B99"/>
    <w:pPr>
      <w:numPr>
        <w:ilvl w:val="7"/>
        <w:numId w:val="2"/>
      </w:numPr>
      <w:spacing w:before="240" w:after="60"/>
      <w:outlineLvl w:val="7"/>
    </w:pPr>
    <w:rPr>
      <w:rFonts w:ascii="Calibri" w:eastAsia="Times New Roman" w:hAnsi="Calibri"/>
      <w:i/>
      <w:iCs/>
      <w:sz w:val="24"/>
    </w:rPr>
  </w:style>
  <w:style w:type="paragraph" w:styleId="Heading9">
    <w:name w:val="heading 9"/>
    <w:basedOn w:val="Normal"/>
    <w:next w:val="Normal"/>
    <w:link w:val="Heading9Char"/>
    <w:uiPriority w:val="9"/>
    <w:qFormat/>
    <w:rsid w:val="00412B99"/>
    <w:pPr>
      <w:numPr>
        <w:ilvl w:val="8"/>
        <w:numId w:val="2"/>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D24"/>
    <w:pPr>
      <w:tabs>
        <w:tab w:val="center" w:pos="4153"/>
        <w:tab w:val="right" w:pos="8306"/>
      </w:tabs>
    </w:pPr>
    <w:rPr>
      <w:rFonts w:ascii="Times New Roman" w:hAnsi="Times New Roman"/>
      <w:sz w:val="24"/>
    </w:rPr>
  </w:style>
  <w:style w:type="paragraph" w:styleId="Footer">
    <w:name w:val="footer"/>
    <w:basedOn w:val="Normal"/>
    <w:link w:val="FooterChar"/>
    <w:uiPriority w:val="99"/>
    <w:rsid w:val="00471D24"/>
    <w:pPr>
      <w:tabs>
        <w:tab w:val="center" w:pos="4153"/>
        <w:tab w:val="right" w:pos="8306"/>
      </w:tabs>
    </w:pPr>
    <w:rPr>
      <w:rFonts w:ascii="Times New Roman" w:hAnsi="Times New Roman"/>
      <w:sz w:val="24"/>
    </w:rPr>
  </w:style>
  <w:style w:type="character" w:styleId="PageNumber">
    <w:name w:val="page number"/>
    <w:basedOn w:val="DefaultParagraphFont"/>
    <w:rsid w:val="00471D24"/>
  </w:style>
  <w:style w:type="paragraph" w:styleId="Title">
    <w:name w:val="Title"/>
    <w:basedOn w:val="Normal"/>
    <w:qFormat/>
    <w:rsid w:val="00471D24"/>
    <w:pPr>
      <w:jc w:val="center"/>
    </w:pPr>
    <w:rPr>
      <w:rFonts w:cs="Arial"/>
      <w:b/>
      <w:bCs/>
      <w:sz w:val="32"/>
    </w:rPr>
  </w:style>
  <w:style w:type="paragraph" w:styleId="BodyText">
    <w:name w:val="Body Text"/>
    <w:aliases w:val="DNV-Body"/>
    <w:basedOn w:val="Normal"/>
    <w:rsid w:val="00471D24"/>
    <w:pPr>
      <w:spacing w:before="60" w:after="60"/>
    </w:pPr>
    <w:rPr>
      <w:szCs w:val="20"/>
      <w:lang w:val="nb-NO" w:eastAsia="nb-NO"/>
    </w:rPr>
  </w:style>
  <w:style w:type="paragraph" w:styleId="BodyTextIndent">
    <w:name w:val="Body Text Indent"/>
    <w:basedOn w:val="Normal"/>
    <w:rsid w:val="00471D24"/>
    <w:pPr>
      <w:ind w:left="576"/>
    </w:pPr>
    <w:rPr>
      <w:rFonts w:cs="Arial"/>
      <w:i/>
    </w:rPr>
  </w:style>
  <w:style w:type="character" w:customStyle="1" w:styleId="HeaderChar">
    <w:name w:val="Header Char"/>
    <w:link w:val="Header"/>
    <w:uiPriority w:val="99"/>
    <w:rsid w:val="00F83EA8"/>
    <w:rPr>
      <w:sz w:val="24"/>
      <w:szCs w:val="24"/>
      <w:lang w:val="en-GB"/>
    </w:rPr>
  </w:style>
  <w:style w:type="character" w:customStyle="1" w:styleId="FooterChar">
    <w:name w:val="Footer Char"/>
    <w:link w:val="Footer"/>
    <w:uiPriority w:val="99"/>
    <w:rsid w:val="00F83EA8"/>
    <w:rPr>
      <w:sz w:val="24"/>
      <w:szCs w:val="24"/>
      <w:lang w:val="en-GB"/>
    </w:rPr>
  </w:style>
  <w:style w:type="character" w:customStyle="1" w:styleId="Heading6Char">
    <w:name w:val="Heading 6 Char"/>
    <w:link w:val="Heading6"/>
    <w:uiPriority w:val="9"/>
    <w:rsid w:val="00412B99"/>
    <w:rPr>
      <w:rFonts w:ascii="Calibri" w:eastAsia="Times New Roman" w:hAnsi="Calibri"/>
      <w:b/>
      <w:bCs/>
      <w:sz w:val="22"/>
      <w:szCs w:val="22"/>
      <w:lang w:val="en-GB"/>
    </w:rPr>
  </w:style>
  <w:style w:type="character" w:customStyle="1" w:styleId="Heading7Char">
    <w:name w:val="Heading 7 Char"/>
    <w:link w:val="Heading7"/>
    <w:uiPriority w:val="9"/>
    <w:rsid w:val="00412B99"/>
    <w:rPr>
      <w:rFonts w:ascii="Calibri" w:eastAsia="Times New Roman" w:hAnsi="Calibri"/>
      <w:sz w:val="24"/>
      <w:szCs w:val="24"/>
      <w:lang w:val="en-GB"/>
    </w:rPr>
  </w:style>
  <w:style w:type="character" w:customStyle="1" w:styleId="Heading8Char">
    <w:name w:val="Heading 8 Char"/>
    <w:link w:val="Heading8"/>
    <w:uiPriority w:val="9"/>
    <w:rsid w:val="00412B99"/>
    <w:rPr>
      <w:rFonts w:ascii="Calibri" w:eastAsia="Times New Roman" w:hAnsi="Calibri"/>
      <w:i/>
      <w:iCs/>
      <w:sz w:val="24"/>
      <w:szCs w:val="24"/>
      <w:lang w:val="en-GB"/>
    </w:rPr>
  </w:style>
  <w:style w:type="character" w:customStyle="1" w:styleId="Heading9Char">
    <w:name w:val="Heading 9 Char"/>
    <w:link w:val="Heading9"/>
    <w:uiPriority w:val="9"/>
    <w:rsid w:val="00412B99"/>
    <w:rPr>
      <w:rFonts w:ascii="Cambria" w:eastAsia="Times New Roman" w:hAnsi="Cambria"/>
      <w:sz w:val="22"/>
      <w:szCs w:val="22"/>
      <w:lang w:val="en-GB"/>
    </w:rPr>
  </w:style>
  <w:style w:type="character" w:styleId="SubtleEmphasis">
    <w:name w:val="Subtle Emphasis"/>
    <w:aliases w:val="Table Note"/>
    <w:uiPriority w:val="19"/>
    <w:qFormat/>
    <w:rsid w:val="00412B99"/>
    <w:rPr>
      <w:i/>
      <w:iCs/>
      <w:color w:val="808080"/>
    </w:rPr>
  </w:style>
  <w:style w:type="paragraph" w:styleId="TOCHeading">
    <w:name w:val="TOC Heading"/>
    <w:basedOn w:val="Heading1"/>
    <w:next w:val="Normal"/>
    <w:uiPriority w:val="39"/>
    <w:semiHidden/>
    <w:unhideWhenUsed/>
    <w:qFormat/>
    <w:rsid w:val="00127751"/>
    <w:pPr>
      <w:keepLines/>
      <w:numPr>
        <w:numId w:val="0"/>
      </w:numPr>
      <w:spacing w:before="480" w:after="0" w:line="276" w:lineRule="auto"/>
      <w:outlineLvl w:val="9"/>
    </w:pPr>
    <w:rPr>
      <w:rFonts w:ascii="Cambria" w:eastAsia="Times New Roman" w:hAnsi="Cambria" w:cs="Times New Roman"/>
      <w:color w:val="365F91"/>
      <w:sz w:val="28"/>
      <w:szCs w:val="28"/>
      <w:lang w:val="en-US"/>
    </w:rPr>
  </w:style>
  <w:style w:type="paragraph" w:styleId="TOC1">
    <w:name w:val="toc 1"/>
    <w:basedOn w:val="Normal"/>
    <w:next w:val="Normal"/>
    <w:autoRedefine/>
    <w:uiPriority w:val="39"/>
    <w:unhideWhenUsed/>
    <w:rsid w:val="00127751"/>
  </w:style>
  <w:style w:type="paragraph" w:styleId="TOC2">
    <w:name w:val="toc 2"/>
    <w:basedOn w:val="Normal"/>
    <w:next w:val="Normal"/>
    <w:autoRedefine/>
    <w:uiPriority w:val="39"/>
    <w:unhideWhenUsed/>
    <w:rsid w:val="00127751"/>
    <w:pPr>
      <w:ind w:left="200"/>
    </w:pPr>
  </w:style>
  <w:style w:type="character" w:styleId="Hyperlink">
    <w:name w:val="Hyperlink"/>
    <w:uiPriority w:val="99"/>
    <w:unhideWhenUsed/>
    <w:rsid w:val="00127751"/>
    <w:rPr>
      <w:color w:val="0000FF"/>
      <w:u w:val="single"/>
    </w:rPr>
  </w:style>
  <w:style w:type="paragraph" w:styleId="BalloonText">
    <w:name w:val="Balloon Text"/>
    <w:basedOn w:val="Normal"/>
    <w:link w:val="BalloonTextChar"/>
    <w:uiPriority w:val="99"/>
    <w:semiHidden/>
    <w:unhideWhenUsed/>
    <w:rsid w:val="00D579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57907"/>
    <w:rPr>
      <w:rFonts w:ascii="Tahoma" w:hAnsi="Tahoma" w:cs="Tahoma"/>
      <w:sz w:val="16"/>
      <w:szCs w:val="16"/>
      <w:lang w:val="en-GB"/>
    </w:rPr>
  </w:style>
  <w:style w:type="character" w:styleId="CommentReference">
    <w:name w:val="annotation reference"/>
    <w:uiPriority w:val="99"/>
    <w:semiHidden/>
    <w:unhideWhenUsed/>
    <w:rsid w:val="00D57907"/>
    <w:rPr>
      <w:sz w:val="16"/>
      <w:szCs w:val="16"/>
    </w:rPr>
  </w:style>
  <w:style w:type="paragraph" w:styleId="CommentText">
    <w:name w:val="annotation text"/>
    <w:basedOn w:val="Normal"/>
    <w:link w:val="CommentTextChar"/>
    <w:uiPriority w:val="99"/>
    <w:semiHidden/>
    <w:unhideWhenUsed/>
    <w:rsid w:val="00D57907"/>
    <w:rPr>
      <w:szCs w:val="20"/>
    </w:rPr>
  </w:style>
  <w:style w:type="character" w:customStyle="1" w:styleId="CommentTextChar">
    <w:name w:val="Comment Text Char"/>
    <w:link w:val="CommentText"/>
    <w:uiPriority w:val="99"/>
    <w:semiHidden/>
    <w:rsid w:val="00D57907"/>
    <w:rPr>
      <w:rFonts w:ascii="Arial" w:hAnsi="Arial"/>
      <w:lang w:val="en-GB"/>
    </w:rPr>
  </w:style>
  <w:style w:type="paragraph" w:styleId="CommentSubject">
    <w:name w:val="annotation subject"/>
    <w:basedOn w:val="CommentText"/>
    <w:next w:val="CommentText"/>
    <w:link w:val="CommentSubjectChar"/>
    <w:uiPriority w:val="99"/>
    <w:semiHidden/>
    <w:unhideWhenUsed/>
    <w:rsid w:val="00D57907"/>
    <w:rPr>
      <w:b/>
      <w:bCs/>
    </w:rPr>
  </w:style>
  <w:style w:type="character" w:customStyle="1" w:styleId="CommentSubjectChar">
    <w:name w:val="Comment Subject Char"/>
    <w:link w:val="CommentSubject"/>
    <w:uiPriority w:val="99"/>
    <w:semiHidden/>
    <w:rsid w:val="00D57907"/>
    <w:rPr>
      <w:rFonts w:ascii="Arial" w:hAnsi="Arial"/>
      <w:b/>
      <w:bCs/>
      <w:lang w:val="en-GB"/>
    </w:rPr>
  </w:style>
  <w:style w:type="paragraph" w:customStyle="1" w:styleId="MediumList2-Accent21">
    <w:name w:val="Medium List 2 - Accent 21"/>
    <w:hidden/>
    <w:uiPriority w:val="99"/>
    <w:semiHidden/>
    <w:rsid w:val="00160B9B"/>
    <w:rPr>
      <w:rFonts w:ascii="Arial" w:hAnsi="Arial"/>
      <w:szCs w:val="24"/>
      <w:lang w:val="en-GB"/>
    </w:rPr>
  </w:style>
  <w:style w:type="paragraph" w:customStyle="1" w:styleId="MediumGrid1-Accent21">
    <w:name w:val="Medium Grid 1 - Accent 21"/>
    <w:basedOn w:val="Normal"/>
    <w:uiPriority w:val="34"/>
    <w:qFormat/>
    <w:rsid w:val="0017131D"/>
    <w:pPr>
      <w:ind w:left="720"/>
      <w:contextualSpacing/>
    </w:pPr>
  </w:style>
  <w:style w:type="paragraph" w:customStyle="1" w:styleId="Default">
    <w:name w:val="Default"/>
    <w:rsid w:val="005C528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937BD"/>
    <w:rPr>
      <w:sz w:val="24"/>
    </w:rPr>
  </w:style>
  <w:style w:type="character" w:customStyle="1" w:styleId="FootnoteTextChar">
    <w:name w:val="Footnote Text Char"/>
    <w:link w:val="FootnoteText"/>
    <w:uiPriority w:val="99"/>
    <w:rsid w:val="002937BD"/>
    <w:rPr>
      <w:rFonts w:ascii="Arial" w:hAnsi="Arial"/>
      <w:sz w:val="24"/>
      <w:szCs w:val="24"/>
      <w:lang w:val="en-GB"/>
    </w:rPr>
  </w:style>
  <w:style w:type="character" w:styleId="FootnoteReference">
    <w:name w:val="footnote reference"/>
    <w:uiPriority w:val="99"/>
    <w:unhideWhenUsed/>
    <w:rsid w:val="002937BD"/>
    <w:rPr>
      <w:vertAlign w:val="superscript"/>
    </w:rPr>
  </w:style>
  <w:style w:type="paragraph" w:styleId="Revision">
    <w:name w:val="Revision"/>
    <w:hidden/>
    <w:uiPriority w:val="99"/>
    <w:semiHidden/>
    <w:rsid w:val="003D2376"/>
    <w:rPr>
      <w:rFonts w:ascii="Arial" w:hAnsi="Arial"/>
      <w:szCs w:val="24"/>
      <w:lang w:val="en-GB"/>
    </w:rPr>
  </w:style>
  <w:style w:type="paragraph" w:styleId="ListParagraph">
    <w:name w:val="List Paragraph"/>
    <w:basedOn w:val="Normal"/>
    <w:uiPriority w:val="34"/>
    <w:qFormat/>
    <w:rsid w:val="00E4342E"/>
    <w:pPr>
      <w:ind w:left="720"/>
      <w:contextualSpacing/>
    </w:pPr>
  </w:style>
  <w:style w:type="character" w:styleId="FollowedHyperlink">
    <w:name w:val="FollowedHyperlink"/>
    <w:basedOn w:val="DefaultParagraphFont"/>
    <w:uiPriority w:val="99"/>
    <w:semiHidden/>
    <w:unhideWhenUsed/>
    <w:rsid w:val="00CE5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3307">
      <w:bodyDiv w:val="1"/>
      <w:marLeft w:val="0"/>
      <w:marRight w:val="0"/>
      <w:marTop w:val="0"/>
      <w:marBottom w:val="0"/>
      <w:divBdr>
        <w:top w:val="none" w:sz="0" w:space="0" w:color="auto"/>
        <w:left w:val="none" w:sz="0" w:space="0" w:color="auto"/>
        <w:bottom w:val="none" w:sz="0" w:space="0" w:color="auto"/>
        <w:right w:val="none" w:sz="0" w:space="0" w:color="auto"/>
      </w:divBdr>
    </w:div>
    <w:div w:id="1209803215">
      <w:bodyDiv w:val="1"/>
      <w:marLeft w:val="0"/>
      <w:marRight w:val="0"/>
      <w:marTop w:val="0"/>
      <w:marBottom w:val="0"/>
      <w:divBdr>
        <w:top w:val="none" w:sz="0" w:space="0" w:color="auto"/>
        <w:left w:val="none" w:sz="0" w:space="0" w:color="auto"/>
        <w:bottom w:val="none" w:sz="0" w:space="0" w:color="auto"/>
        <w:right w:val="none" w:sz="0" w:space="0" w:color="auto"/>
      </w:divBdr>
    </w:div>
    <w:div w:id="1225985976">
      <w:bodyDiv w:val="1"/>
      <w:marLeft w:val="0"/>
      <w:marRight w:val="0"/>
      <w:marTop w:val="0"/>
      <w:marBottom w:val="0"/>
      <w:divBdr>
        <w:top w:val="none" w:sz="0" w:space="0" w:color="auto"/>
        <w:left w:val="none" w:sz="0" w:space="0" w:color="auto"/>
        <w:bottom w:val="none" w:sz="0" w:space="0" w:color="auto"/>
        <w:right w:val="none" w:sz="0" w:space="0" w:color="auto"/>
      </w:divBdr>
    </w:div>
    <w:div w:id="1458789884">
      <w:bodyDiv w:val="1"/>
      <w:marLeft w:val="0"/>
      <w:marRight w:val="0"/>
      <w:marTop w:val="0"/>
      <w:marBottom w:val="0"/>
      <w:divBdr>
        <w:top w:val="none" w:sz="0" w:space="0" w:color="auto"/>
        <w:left w:val="none" w:sz="0" w:space="0" w:color="auto"/>
        <w:bottom w:val="none" w:sz="0" w:space="0" w:color="auto"/>
        <w:right w:val="none" w:sz="0" w:space="0" w:color="auto"/>
      </w:divBdr>
    </w:div>
    <w:div w:id="1805998504">
      <w:bodyDiv w:val="1"/>
      <w:marLeft w:val="0"/>
      <w:marRight w:val="0"/>
      <w:marTop w:val="0"/>
      <w:marBottom w:val="0"/>
      <w:divBdr>
        <w:top w:val="none" w:sz="0" w:space="0" w:color="auto"/>
        <w:left w:val="none" w:sz="0" w:space="0" w:color="auto"/>
        <w:bottom w:val="none" w:sz="0" w:space="0" w:color="auto"/>
        <w:right w:val="none" w:sz="0" w:space="0" w:color="auto"/>
      </w:divBdr>
    </w:div>
    <w:div w:id="1883442318">
      <w:bodyDiv w:val="1"/>
      <w:marLeft w:val="0"/>
      <w:marRight w:val="0"/>
      <w:marTop w:val="0"/>
      <w:marBottom w:val="0"/>
      <w:divBdr>
        <w:top w:val="none" w:sz="0" w:space="0" w:color="auto"/>
        <w:left w:val="none" w:sz="0" w:space="0" w:color="auto"/>
        <w:bottom w:val="none" w:sz="0" w:space="0" w:color="auto"/>
        <w:right w:val="none" w:sz="0" w:space="0" w:color="auto"/>
      </w:divBdr>
    </w:div>
    <w:div w:id="1995134506">
      <w:bodyDiv w:val="1"/>
      <w:marLeft w:val="0"/>
      <w:marRight w:val="0"/>
      <w:marTop w:val="0"/>
      <w:marBottom w:val="0"/>
      <w:divBdr>
        <w:top w:val="none" w:sz="0" w:space="0" w:color="auto"/>
        <w:left w:val="none" w:sz="0" w:space="0" w:color="auto"/>
        <w:bottom w:val="none" w:sz="0" w:space="0" w:color="auto"/>
        <w:right w:val="none" w:sz="0" w:space="0" w:color="auto"/>
      </w:divBdr>
    </w:div>
    <w:div w:id="2056730725">
      <w:bodyDiv w:val="1"/>
      <w:marLeft w:val="0"/>
      <w:marRight w:val="0"/>
      <w:marTop w:val="0"/>
      <w:marBottom w:val="0"/>
      <w:divBdr>
        <w:top w:val="none" w:sz="0" w:space="0" w:color="auto"/>
        <w:left w:val="none" w:sz="0" w:space="0" w:color="auto"/>
        <w:bottom w:val="none" w:sz="0" w:space="0" w:color="auto"/>
        <w:right w:val="none" w:sz="0" w:space="0" w:color="auto"/>
      </w:divBdr>
    </w:div>
    <w:div w:id="210999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C0255-DDA8-4C17-A7BA-A22EF1B89CB8}">
  <ds:schemaRefs>
    <ds:schemaRef ds:uri="http://schemas.openxmlformats.org/officeDocument/2006/bibliography"/>
  </ds:schemaRefs>
</ds:datastoreItem>
</file>

<file path=customXml/itemProps2.xml><?xml version="1.0" encoding="utf-8"?>
<ds:datastoreItem xmlns:ds="http://schemas.openxmlformats.org/officeDocument/2006/customXml" ds:itemID="{D75D2385-4788-4CAD-8C7C-0F42696C6DD1}">
  <ds:schemaRefs>
    <ds:schemaRef ds:uri="http://schemas.microsoft.com/sharepoint/v3/contenttype/forms"/>
  </ds:schemaRefs>
</ds:datastoreItem>
</file>

<file path=customXml/itemProps3.xml><?xml version="1.0" encoding="utf-8"?>
<ds:datastoreItem xmlns:ds="http://schemas.openxmlformats.org/officeDocument/2006/customXml" ds:itemID="{1F92784F-8C83-4657-9515-4CD82B181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52968-A636-4FD2-921B-BB44FE88E9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1207</Words>
  <Characters>6884</Characters>
  <Application>Microsoft Office Word</Application>
  <DocSecurity>0</DocSecurity>
  <Lines>57</Lines>
  <Paragraphs>16</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WBCSD</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shoffer</dc:creator>
  <cp:keywords/>
  <cp:lastModifiedBy>Lauren Mullady</cp:lastModifiedBy>
  <cp:revision>22</cp:revision>
  <cp:lastPrinted>2014-02-07T04:05:00Z</cp:lastPrinted>
  <dcterms:created xsi:type="dcterms:W3CDTF">2022-04-24T17:29:00Z</dcterms:created>
  <dcterms:modified xsi:type="dcterms:W3CDTF">2022-07-06T17:13:00Z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ies>
</file>