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35F4" w14:textId="16BF4AD7" w:rsidR="008A251E" w:rsidRPr="002C0E47" w:rsidRDefault="0093095F" w:rsidP="00797C92">
      <w:pPr>
        <w:spacing w:before="480" w:after="480" w:line="264" w:lineRule="auto"/>
        <w:jc w:val="center"/>
        <w:rPr>
          <w:rFonts w:ascii="Century Gothic" w:hAnsi="Century Gothic" w:cs="Arial"/>
          <w:caps/>
          <w:color w:val="2B3A57"/>
          <w:sz w:val="48"/>
        </w:rPr>
      </w:pPr>
      <w:r w:rsidRPr="002C0E47">
        <w:rPr>
          <w:rFonts w:ascii="Century Gothic" w:hAnsi="Century Gothic" w:cs="Arial"/>
          <w:caps/>
          <w:color w:val="2B3A57"/>
          <w:sz w:val="48"/>
        </w:rPr>
        <w:t>Project Review Report</w:t>
      </w:r>
    </w:p>
    <w:tbl>
      <w:tblPr>
        <w:tblW w:w="9360" w:type="dxa"/>
        <w:tblInd w:w="108" w:type="dxa"/>
        <w:tblLayout w:type="fixed"/>
        <w:tblLook w:val="0000" w:firstRow="0" w:lastRow="0" w:firstColumn="0" w:lastColumn="0" w:noHBand="0" w:noVBand="0"/>
      </w:tblPr>
      <w:tblGrid>
        <w:gridCol w:w="2520"/>
        <w:gridCol w:w="6840"/>
      </w:tblGrid>
      <w:tr w:rsidR="002109A4" w:rsidRPr="008B0FD4" w14:paraId="1B253E4B" w14:textId="77777777" w:rsidTr="00620C29">
        <w:trPr>
          <w:trHeight w:val="552"/>
        </w:trPr>
        <w:tc>
          <w:tcPr>
            <w:tcW w:w="2520" w:type="dxa"/>
            <w:tcBorders>
              <w:bottom w:val="single" w:sz="4" w:space="0" w:color="FFFFFF" w:themeColor="background1"/>
            </w:tcBorders>
            <w:shd w:val="clear" w:color="auto" w:fill="2B3A57"/>
            <w:vAlign w:val="center"/>
          </w:tcPr>
          <w:p w14:paraId="7602A987" w14:textId="77777777" w:rsidR="002109A4"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ID</w:t>
            </w:r>
          </w:p>
        </w:tc>
        <w:tc>
          <w:tcPr>
            <w:tcW w:w="6840" w:type="dxa"/>
            <w:tcBorders>
              <w:bottom w:val="single" w:sz="4" w:space="0" w:color="FFFFFF" w:themeColor="background1"/>
            </w:tcBorders>
            <w:shd w:val="clear" w:color="auto" w:fill="F2F2F2"/>
            <w:vAlign w:val="center"/>
          </w:tcPr>
          <w:p w14:paraId="5F2EA2B7" w14:textId="51F7C7C0" w:rsidR="00EA694B" w:rsidRPr="00D24507" w:rsidRDefault="00926736"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1345</w:t>
            </w:r>
          </w:p>
        </w:tc>
      </w:tr>
      <w:tr w:rsidR="00F849C3" w:rsidRPr="008B0FD4" w14:paraId="01FA3E63"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7ED387BA" w14:textId="77777777" w:rsidR="00F849C3"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Name</w:t>
            </w:r>
          </w:p>
        </w:tc>
        <w:tc>
          <w:tcPr>
            <w:tcW w:w="6840" w:type="dxa"/>
            <w:tcBorders>
              <w:top w:val="single" w:sz="4" w:space="0" w:color="FFFFFF" w:themeColor="background1"/>
              <w:bottom w:val="single" w:sz="4" w:space="0" w:color="FFFFFF" w:themeColor="background1"/>
            </w:tcBorders>
            <w:shd w:val="clear" w:color="auto" w:fill="F2F2F2"/>
            <w:vAlign w:val="center"/>
          </w:tcPr>
          <w:p w14:paraId="140AEB86" w14:textId="3ECAC279" w:rsidR="00F849C3" w:rsidRPr="00D24507" w:rsidRDefault="00926736" w:rsidP="00EE0B4F">
            <w:pPr>
              <w:pStyle w:val="Header"/>
              <w:spacing w:before="60" w:after="60"/>
              <w:rPr>
                <w:rFonts w:ascii="Franklin Gothic Book" w:hAnsi="Franklin Gothic Book" w:cs="Arial"/>
                <w:i/>
                <w:color w:val="404040"/>
                <w:sz w:val="19"/>
                <w:szCs w:val="19"/>
                <w:lang w:val="en-CA"/>
              </w:rPr>
            </w:pPr>
            <w:proofErr w:type="spellStart"/>
            <w:r w:rsidRPr="00926736">
              <w:rPr>
                <w:rFonts w:ascii="Franklin Gothic Book" w:hAnsi="Franklin Gothic Book" w:cs="Arial"/>
                <w:i/>
                <w:color w:val="404040"/>
                <w:sz w:val="19"/>
                <w:szCs w:val="19"/>
                <w:lang w:val="en-US"/>
              </w:rPr>
              <w:t>Boyabat</w:t>
            </w:r>
            <w:proofErr w:type="spellEnd"/>
            <w:r w:rsidRPr="00926736">
              <w:rPr>
                <w:rFonts w:ascii="Franklin Gothic Book" w:hAnsi="Franklin Gothic Book" w:cs="Arial"/>
                <w:i/>
                <w:color w:val="404040"/>
                <w:sz w:val="19"/>
                <w:szCs w:val="19"/>
                <w:lang w:val="en-US"/>
              </w:rPr>
              <w:t xml:space="preserve"> Hydroelectric Power Plant</w:t>
            </w:r>
          </w:p>
        </w:tc>
      </w:tr>
      <w:tr w:rsidR="00286ADB" w:rsidRPr="008B0FD4" w14:paraId="65E5E137"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5F7EB490" w14:textId="704DA82E" w:rsidR="00286ADB" w:rsidRPr="00A75443" w:rsidRDefault="00286ADB"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Program</w:t>
            </w:r>
            <w:r w:rsidR="00BF49A4">
              <w:rPr>
                <w:rFonts w:ascii="Franklin Gothic Book" w:hAnsi="Franklin Gothic Book" w:cs="Arial"/>
                <w:b/>
                <w:color w:val="FFFFFF"/>
                <w:sz w:val="20"/>
                <w:szCs w:val="20"/>
                <w:lang w:val="en-CA"/>
              </w:rPr>
              <w:t>(s)</w:t>
            </w:r>
          </w:p>
        </w:tc>
        <w:tc>
          <w:tcPr>
            <w:tcW w:w="6840" w:type="dxa"/>
            <w:tcBorders>
              <w:top w:val="single" w:sz="4" w:space="0" w:color="FFFFFF" w:themeColor="background1"/>
              <w:bottom w:val="single" w:sz="4" w:space="0" w:color="FFFFFF" w:themeColor="background1"/>
            </w:tcBorders>
            <w:shd w:val="clear" w:color="auto" w:fill="F2F2F2"/>
            <w:vAlign w:val="center"/>
          </w:tcPr>
          <w:p w14:paraId="1AE1DCF2" w14:textId="1B5321C4" w:rsidR="00286ADB" w:rsidRPr="00A75443" w:rsidRDefault="00286ADB" w:rsidP="00D2450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VCS</w:t>
            </w:r>
          </w:p>
        </w:tc>
      </w:tr>
      <w:tr w:rsidR="00F408A8" w:rsidRPr="008B0FD4" w14:paraId="6551EF61"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7EAC19D9" w14:textId="18C1075A" w:rsidR="00F408A8" w:rsidRPr="00A75443" w:rsidRDefault="00F408A8"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Verification Period</w:t>
            </w:r>
          </w:p>
        </w:tc>
        <w:tc>
          <w:tcPr>
            <w:tcW w:w="6840" w:type="dxa"/>
            <w:tcBorders>
              <w:top w:val="single" w:sz="4" w:space="0" w:color="FFFFFF" w:themeColor="background1"/>
              <w:bottom w:val="single" w:sz="4" w:space="0" w:color="FFFFFF" w:themeColor="background1"/>
            </w:tcBorders>
            <w:shd w:val="clear" w:color="auto" w:fill="F2F2F2"/>
            <w:vAlign w:val="center"/>
          </w:tcPr>
          <w:p w14:paraId="2B688F65" w14:textId="3174A723" w:rsidR="00F408A8" w:rsidRPr="00A75443" w:rsidRDefault="00926736"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 xml:space="preserve">29/11/2012 until </w:t>
            </w:r>
            <w:r w:rsidRPr="00926736">
              <w:rPr>
                <w:rFonts w:ascii="Franklin Gothic Book" w:hAnsi="Franklin Gothic Book" w:cs="Arial"/>
                <w:i/>
                <w:color w:val="404040"/>
                <w:sz w:val="19"/>
                <w:szCs w:val="19"/>
                <w:lang w:val="en-CA"/>
              </w:rPr>
              <w:t>31/07/2014</w:t>
            </w:r>
            <w:r w:rsidRPr="00926736">
              <w:rPr>
                <w:rFonts w:ascii="Franklin Gothic Book" w:hAnsi="Franklin Gothic Book" w:cs="Arial"/>
                <w:i/>
                <w:color w:val="404040"/>
                <w:sz w:val="19"/>
                <w:szCs w:val="19"/>
                <w:lang w:val="en-CA"/>
              </w:rPr>
              <w:tab/>
            </w:r>
            <w:r w:rsidR="00F955CA" w:rsidRPr="00F955CA">
              <w:rPr>
                <w:rFonts w:ascii="Franklin Gothic Book" w:hAnsi="Franklin Gothic Book" w:cs="Arial"/>
                <w:i/>
                <w:color w:val="404040"/>
                <w:sz w:val="19"/>
                <w:szCs w:val="19"/>
                <w:lang w:val="en-CA"/>
              </w:rPr>
              <w:tab/>
            </w:r>
          </w:p>
        </w:tc>
      </w:tr>
      <w:tr w:rsidR="00FD3AF7" w:rsidRPr="001325E5" w14:paraId="7308753D" w14:textId="77777777" w:rsidTr="00620C29">
        <w:trPr>
          <w:trHeight w:val="498"/>
        </w:trPr>
        <w:tc>
          <w:tcPr>
            <w:tcW w:w="2520" w:type="dxa"/>
            <w:tcBorders>
              <w:top w:val="single" w:sz="4" w:space="0" w:color="FFFFFF" w:themeColor="background1"/>
              <w:bottom w:val="single" w:sz="4" w:space="0" w:color="FFFFFF" w:themeColor="background1"/>
            </w:tcBorders>
            <w:shd w:val="clear" w:color="auto" w:fill="2B3A57"/>
            <w:vAlign w:val="center"/>
          </w:tcPr>
          <w:p w14:paraId="7838131C"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Proponent</w:t>
            </w:r>
          </w:p>
        </w:tc>
        <w:tc>
          <w:tcPr>
            <w:tcW w:w="6840" w:type="dxa"/>
            <w:tcBorders>
              <w:top w:val="single" w:sz="4" w:space="0" w:color="FFFFFF" w:themeColor="background1"/>
              <w:bottom w:val="single" w:sz="4" w:space="0" w:color="FFFFFF" w:themeColor="background1"/>
            </w:tcBorders>
            <w:shd w:val="clear" w:color="auto" w:fill="F2F2F2"/>
            <w:vAlign w:val="center"/>
          </w:tcPr>
          <w:p w14:paraId="1A420D64" w14:textId="126A5203" w:rsidR="00FD3AF7" w:rsidRPr="00A75443" w:rsidRDefault="00926736" w:rsidP="00FD3AF7">
            <w:pPr>
              <w:pStyle w:val="Header"/>
              <w:spacing w:before="60" w:after="60"/>
              <w:rPr>
                <w:rFonts w:ascii="Franklin Gothic Book" w:hAnsi="Franklin Gothic Book" w:cs="Arial"/>
                <w:i/>
                <w:color w:val="404040"/>
                <w:sz w:val="19"/>
                <w:szCs w:val="19"/>
                <w:lang w:val="de-DE"/>
              </w:rPr>
            </w:pPr>
            <w:proofErr w:type="spellStart"/>
            <w:r>
              <w:rPr>
                <w:rFonts w:ascii="Franklin Gothic Book" w:hAnsi="Franklin Gothic Book" w:cs="Arial"/>
                <w:i/>
                <w:color w:val="404040"/>
                <w:sz w:val="19"/>
                <w:szCs w:val="19"/>
                <w:lang w:val="en-CA"/>
              </w:rPr>
              <w:t>Boyabat</w:t>
            </w:r>
            <w:proofErr w:type="spellEnd"/>
            <w:r>
              <w:rPr>
                <w:rFonts w:ascii="Franklin Gothic Book" w:hAnsi="Franklin Gothic Book" w:cs="Arial"/>
                <w:i/>
                <w:color w:val="404040"/>
                <w:sz w:val="19"/>
                <w:szCs w:val="19"/>
                <w:lang w:val="en-CA"/>
              </w:rPr>
              <w:t xml:space="preserve"> </w:t>
            </w:r>
            <w:proofErr w:type="spellStart"/>
            <w:r>
              <w:rPr>
                <w:rFonts w:ascii="Franklin Gothic Book" w:hAnsi="Franklin Gothic Book" w:cs="Arial"/>
                <w:i/>
                <w:color w:val="404040"/>
                <w:sz w:val="19"/>
                <w:szCs w:val="19"/>
                <w:lang w:val="en-CA"/>
              </w:rPr>
              <w:t>Elektrik</w:t>
            </w:r>
            <w:proofErr w:type="spellEnd"/>
            <w:r>
              <w:rPr>
                <w:rFonts w:ascii="Franklin Gothic Book" w:hAnsi="Franklin Gothic Book" w:cs="Arial"/>
                <w:i/>
                <w:color w:val="404040"/>
                <w:sz w:val="19"/>
                <w:szCs w:val="19"/>
                <w:lang w:val="en-CA"/>
              </w:rPr>
              <w:t xml:space="preserve"> </w:t>
            </w:r>
            <w:proofErr w:type="spellStart"/>
            <w:r>
              <w:rPr>
                <w:rFonts w:ascii="Franklin Gothic Book" w:hAnsi="Franklin Gothic Book" w:cs="Arial"/>
                <w:i/>
                <w:color w:val="404040"/>
                <w:sz w:val="19"/>
                <w:szCs w:val="19"/>
                <w:lang w:val="en-CA"/>
              </w:rPr>
              <w:t>Uretim</w:t>
            </w:r>
            <w:proofErr w:type="spellEnd"/>
            <w:r>
              <w:rPr>
                <w:rFonts w:ascii="Franklin Gothic Book" w:hAnsi="Franklin Gothic Book" w:cs="Arial"/>
                <w:i/>
                <w:color w:val="404040"/>
                <w:sz w:val="19"/>
                <w:szCs w:val="19"/>
                <w:lang w:val="en-CA"/>
              </w:rPr>
              <w:t xml:space="preserve"> </w:t>
            </w:r>
            <w:proofErr w:type="spellStart"/>
            <w:r>
              <w:rPr>
                <w:rFonts w:ascii="Franklin Gothic Book" w:hAnsi="Franklin Gothic Book" w:cs="Arial"/>
                <w:i/>
                <w:color w:val="404040"/>
                <w:sz w:val="19"/>
                <w:szCs w:val="19"/>
                <w:lang w:val="en-CA"/>
              </w:rPr>
              <w:t>Ve</w:t>
            </w:r>
            <w:proofErr w:type="spellEnd"/>
            <w:r>
              <w:rPr>
                <w:rFonts w:ascii="Franklin Gothic Book" w:hAnsi="Franklin Gothic Book" w:cs="Arial"/>
                <w:i/>
                <w:color w:val="404040"/>
                <w:sz w:val="19"/>
                <w:szCs w:val="19"/>
                <w:lang w:val="en-CA"/>
              </w:rPr>
              <w:t xml:space="preserve"> </w:t>
            </w:r>
            <w:proofErr w:type="spellStart"/>
            <w:r>
              <w:rPr>
                <w:rFonts w:ascii="Franklin Gothic Book" w:hAnsi="Franklin Gothic Book" w:cs="Arial"/>
                <w:i/>
                <w:color w:val="404040"/>
                <w:sz w:val="19"/>
                <w:szCs w:val="19"/>
                <w:lang w:val="en-CA"/>
              </w:rPr>
              <w:t>Ticaret</w:t>
            </w:r>
            <w:proofErr w:type="spellEnd"/>
            <w:r>
              <w:rPr>
                <w:rFonts w:ascii="Franklin Gothic Book" w:hAnsi="Franklin Gothic Book" w:cs="Arial"/>
                <w:i/>
                <w:color w:val="404040"/>
                <w:sz w:val="19"/>
                <w:szCs w:val="19"/>
                <w:lang w:val="en-CA"/>
              </w:rPr>
              <w:t xml:space="preserve"> AS</w:t>
            </w:r>
          </w:p>
        </w:tc>
      </w:tr>
      <w:tr w:rsidR="00FD3AF7" w:rsidRPr="008B0FD4" w14:paraId="547E3948" w14:textId="77777777" w:rsidTr="00620C29">
        <w:trPr>
          <w:trHeight w:val="516"/>
        </w:trPr>
        <w:tc>
          <w:tcPr>
            <w:tcW w:w="2520" w:type="dxa"/>
            <w:tcBorders>
              <w:top w:val="single" w:sz="4" w:space="0" w:color="FFFFFF" w:themeColor="background1"/>
              <w:bottom w:val="single" w:sz="4" w:space="0" w:color="FFFFFF" w:themeColor="background1"/>
            </w:tcBorders>
            <w:shd w:val="clear" w:color="auto" w:fill="2B3A57"/>
            <w:vAlign w:val="center"/>
          </w:tcPr>
          <w:p w14:paraId="2686A30B"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 xml:space="preserve">Methodology </w:t>
            </w:r>
          </w:p>
        </w:tc>
        <w:tc>
          <w:tcPr>
            <w:tcW w:w="6840" w:type="dxa"/>
            <w:tcBorders>
              <w:top w:val="single" w:sz="4" w:space="0" w:color="FFFFFF" w:themeColor="background1"/>
              <w:bottom w:val="single" w:sz="4" w:space="0" w:color="FFFFFF" w:themeColor="background1"/>
            </w:tcBorders>
            <w:shd w:val="clear" w:color="auto" w:fill="F2F2F2"/>
            <w:vAlign w:val="center"/>
          </w:tcPr>
          <w:p w14:paraId="16299678" w14:textId="00C91889" w:rsidR="00FD3AF7" w:rsidRPr="00A75443" w:rsidRDefault="00D24507" w:rsidP="00A83C1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ACM0002</w:t>
            </w:r>
          </w:p>
        </w:tc>
      </w:tr>
      <w:tr w:rsidR="00FD3AF7" w:rsidRPr="008B0FD4" w14:paraId="27473E01" w14:textId="77777777" w:rsidTr="00620C29">
        <w:trPr>
          <w:trHeight w:val="543"/>
        </w:trPr>
        <w:tc>
          <w:tcPr>
            <w:tcW w:w="2520" w:type="dxa"/>
            <w:tcBorders>
              <w:top w:val="single" w:sz="4" w:space="0" w:color="FFFFFF" w:themeColor="background1"/>
              <w:bottom w:val="single" w:sz="4" w:space="0" w:color="FFFFFF" w:themeColor="background1"/>
            </w:tcBorders>
            <w:shd w:val="clear" w:color="auto" w:fill="2B3A57"/>
            <w:vAlign w:val="center"/>
          </w:tcPr>
          <w:p w14:paraId="09686822"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Sectoral Scope(s)</w:t>
            </w:r>
          </w:p>
        </w:tc>
        <w:tc>
          <w:tcPr>
            <w:tcW w:w="6840" w:type="dxa"/>
            <w:tcBorders>
              <w:top w:val="single" w:sz="4" w:space="0" w:color="FFFFFF" w:themeColor="background1"/>
              <w:bottom w:val="single" w:sz="4" w:space="0" w:color="FFFFFF" w:themeColor="background1"/>
            </w:tcBorders>
            <w:shd w:val="clear" w:color="auto" w:fill="F2F2F2"/>
            <w:vAlign w:val="center"/>
          </w:tcPr>
          <w:p w14:paraId="056FA630" w14:textId="4BDA4466" w:rsidR="00FD3AF7" w:rsidRPr="00A75443" w:rsidRDefault="00D24507" w:rsidP="0046282B">
            <w:pPr>
              <w:pStyle w:val="Header"/>
              <w:numPr>
                <w:ilvl w:val="0"/>
                <w:numId w:val="4"/>
              </w:numP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Energy Industries (renewable/non-renewable)</w:t>
            </w:r>
          </w:p>
        </w:tc>
      </w:tr>
      <w:tr w:rsidR="00FD3AF7" w:rsidRPr="008B0FD4" w14:paraId="11546842" w14:textId="77777777" w:rsidTr="00620C29">
        <w:trPr>
          <w:trHeight w:val="426"/>
        </w:trPr>
        <w:tc>
          <w:tcPr>
            <w:tcW w:w="2520" w:type="dxa"/>
            <w:tcBorders>
              <w:top w:val="single" w:sz="4" w:space="0" w:color="FFFFFF" w:themeColor="background1"/>
            </w:tcBorders>
            <w:shd w:val="clear" w:color="auto" w:fill="2B3A57"/>
            <w:vAlign w:val="center"/>
          </w:tcPr>
          <w:p w14:paraId="73227989"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Validation/Verification Body (VVB)</w:t>
            </w:r>
          </w:p>
        </w:tc>
        <w:tc>
          <w:tcPr>
            <w:tcW w:w="6840" w:type="dxa"/>
            <w:tcBorders>
              <w:top w:val="single" w:sz="4" w:space="0" w:color="FFFFFF" w:themeColor="background1"/>
            </w:tcBorders>
            <w:shd w:val="clear" w:color="auto" w:fill="F2F2F2"/>
            <w:vAlign w:val="center"/>
          </w:tcPr>
          <w:p w14:paraId="0C9D806C" w14:textId="5C62A530" w:rsidR="00FD3AF7" w:rsidRPr="00A75443" w:rsidRDefault="00926736" w:rsidP="00FD3AF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 xml:space="preserve">TUV </w:t>
            </w:r>
            <w:proofErr w:type="spellStart"/>
            <w:r>
              <w:rPr>
                <w:rFonts w:ascii="Franklin Gothic Book" w:hAnsi="Franklin Gothic Book" w:cs="Arial"/>
                <w:i/>
                <w:color w:val="404040"/>
                <w:sz w:val="19"/>
                <w:szCs w:val="19"/>
                <w:lang w:val="en-CA"/>
              </w:rPr>
              <w:t>Rheinland</w:t>
            </w:r>
            <w:proofErr w:type="spellEnd"/>
          </w:p>
        </w:tc>
      </w:tr>
    </w:tbl>
    <w:p w14:paraId="66314075" w14:textId="77777777" w:rsidR="00F849C3" w:rsidRPr="008B0FD4" w:rsidRDefault="00F849C3" w:rsidP="007C42DA">
      <w:pPr>
        <w:spacing w:after="0"/>
        <w:ind w:left="360"/>
        <w:jc w:val="center"/>
        <w:rPr>
          <w:sz w:val="22"/>
          <w:szCs w:val="22"/>
        </w:rPr>
      </w:pPr>
    </w:p>
    <w:tbl>
      <w:tblPr>
        <w:tblW w:w="9360" w:type="dxa"/>
        <w:tblInd w:w="108" w:type="dxa"/>
        <w:tblLook w:val="0000" w:firstRow="0" w:lastRow="0" w:firstColumn="0" w:lastColumn="0" w:noHBand="0" w:noVBand="0"/>
      </w:tblPr>
      <w:tblGrid>
        <w:gridCol w:w="2547"/>
        <w:gridCol w:w="6813"/>
      </w:tblGrid>
      <w:tr w:rsidR="00F849C3" w:rsidRPr="008B0FD4" w14:paraId="670817CB" w14:textId="77777777" w:rsidTr="00620C29">
        <w:trPr>
          <w:trHeight w:val="390"/>
        </w:trPr>
        <w:tc>
          <w:tcPr>
            <w:tcW w:w="2547" w:type="dxa"/>
            <w:tcBorders>
              <w:bottom w:val="single" w:sz="4" w:space="0" w:color="FFFFFF" w:themeColor="background1"/>
            </w:tcBorders>
            <w:shd w:val="clear" w:color="auto" w:fill="2B3A57"/>
            <w:vAlign w:val="center"/>
          </w:tcPr>
          <w:p w14:paraId="0A82C09E" w14:textId="6005B5FB" w:rsidR="00F849C3"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Assessment Criteria</w:t>
            </w:r>
          </w:p>
        </w:tc>
        <w:tc>
          <w:tcPr>
            <w:tcW w:w="6813" w:type="dxa"/>
            <w:tcBorders>
              <w:bottom w:val="single" w:sz="4" w:space="0" w:color="FFFFFF" w:themeColor="background1"/>
            </w:tcBorders>
            <w:shd w:val="clear" w:color="auto" w:fill="F2F2F2"/>
            <w:vAlign w:val="center"/>
          </w:tcPr>
          <w:p w14:paraId="55242764" w14:textId="7E17D7DE" w:rsidR="00735F31" w:rsidRPr="00062D94" w:rsidRDefault="00062D94" w:rsidP="005C3F8E">
            <w:pPr>
              <w:pStyle w:val="Header"/>
              <w:spacing w:before="60" w:after="60"/>
              <w:rPr>
                <w:rFonts w:ascii="Franklin Gothic Book" w:hAnsi="Franklin Gothic Book" w:cs="Arial"/>
                <w:i/>
                <w:iCs/>
                <w:sz w:val="19"/>
                <w:szCs w:val="19"/>
                <w:lang w:val="en-CA"/>
              </w:rPr>
            </w:pPr>
            <w:r w:rsidRPr="00062D94">
              <w:rPr>
                <w:rFonts w:ascii="Franklin Gothic Book" w:hAnsi="Franklin Gothic Book" w:cs="Arial"/>
                <w:i/>
                <w:iCs/>
                <w:sz w:val="19"/>
                <w:szCs w:val="19"/>
                <w:lang w:val="en-CA"/>
              </w:rPr>
              <w:t>VCS Standard, v4.0</w:t>
            </w:r>
          </w:p>
        </w:tc>
      </w:tr>
      <w:tr w:rsidR="00735F31" w:rsidRPr="008B0FD4" w14:paraId="78B676AC" w14:textId="77777777" w:rsidTr="00620C29">
        <w:trPr>
          <w:trHeight w:val="390"/>
        </w:trPr>
        <w:tc>
          <w:tcPr>
            <w:tcW w:w="2547" w:type="dxa"/>
            <w:tcBorders>
              <w:top w:val="single" w:sz="4" w:space="0" w:color="FFFFFF" w:themeColor="background1"/>
              <w:bottom w:val="single" w:sz="4" w:space="0" w:color="FFFFFF" w:themeColor="background1"/>
            </w:tcBorders>
            <w:shd w:val="clear" w:color="auto" w:fill="2B3A57"/>
            <w:vAlign w:val="center"/>
          </w:tcPr>
          <w:p w14:paraId="3C85B93D" w14:textId="22C8F531" w:rsidR="00735F31"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 First Issue</w:t>
            </w:r>
          </w:p>
        </w:tc>
        <w:tc>
          <w:tcPr>
            <w:tcW w:w="6813" w:type="dxa"/>
            <w:tcBorders>
              <w:top w:val="single" w:sz="4" w:space="0" w:color="FFFFFF" w:themeColor="background1"/>
              <w:bottom w:val="single" w:sz="4" w:space="0" w:color="FFFFFF" w:themeColor="background1"/>
            </w:tcBorders>
            <w:shd w:val="clear" w:color="auto" w:fill="F2F2F2"/>
            <w:vAlign w:val="center"/>
          </w:tcPr>
          <w:p w14:paraId="7120219D" w14:textId="7D35B109" w:rsidR="00735F31" w:rsidRPr="002C0E47" w:rsidRDefault="00C93006" w:rsidP="00FD3AF7">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11</w:t>
            </w:r>
            <w:r w:rsidR="00F955CA">
              <w:rPr>
                <w:rFonts w:ascii="Franklin Gothic Book" w:hAnsi="Franklin Gothic Book" w:cs="Arial"/>
                <w:sz w:val="19"/>
                <w:szCs w:val="19"/>
                <w:lang w:val="en-CA"/>
              </w:rPr>
              <w:t xml:space="preserve"> December</w:t>
            </w:r>
            <w:r w:rsidR="00D24507">
              <w:rPr>
                <w:rFonts w:ascii="Franklin Gothic Book" w:hAnsi="Franklin Gothic Book" w:cs="Arial"/>
                <w:sz w:val="19"/>
                <w:szCs w:val="19"/>
                <w:lang w:val="en-CA"/>
              </w:rPr>
              <w:t xml:space="preserve"> 2020</w:t>
            </w:r>
            <w:r w:rsidR="00FD3AF7" w:rsidRPr="002C0E47">
              <w:rPr>
                <w:rFonts w:ascii="Franklin Gothic Book" w:hAnsi="Franklin Gothic Book" w:cs="Arial"/>
                <w:sz w:val="19"/>
                <w:szCs w:val="19"/>
                <w:lang w:val="en-CA"/>
              </w:rPr>
              <w:t xml:space="preserve"> </w:t>
            </w:r>
          </w:p>
        </w:tc>
      </w:tr>
      <w:tr w:rsidR="00F849C3" w:rsidRPr="008B0FD4" w14:paraId="2AEF77BF" w14:textId="77777777" w:rsidTr="00620C29">
        <w:trPr>
          <w:trHeight w:val="390"/>
        </w:trPr>
        <w:tc>
          <w:tcPr>
            <w:tcW w:w="2547" w:type="dxa"/>
            <w:tcBorders>
              <w:top w:val="single" w:sz="4" w:space="0" w:color="FFFFFF" w:themeColor="background1"/>
            </w:tcBorders>
            <w:shd w:val="clear" w:color="auto" w:fill="2B3A57"/>
            <w:vAlign w:val="center"/>
          </w:tcPr>
          <w:p w14:paraId="0AF3A165" w14:textId="7A6D9BFE" w:rsidR="00F849C3" w:rsidRPr="002C0E47" w:rsidRDefault="00F849C3"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w:t>
            </w:r>
            <w:r w:rsidR="00FD3AF7" w:rsidRPr="002C0E47">
              <w:rPr>
                <w:rFonts w:ascii="Franklin Gothic Book" w:hAnsi="Franklin Gothic Book" w:cs="Arial"/>
                <w:b/>
                <w:color w:val="FFFFFF"/>
                <w:sz w:val="20"/>
                <w:szCs w:val="20"/>
                <w:lang w:val="en-CA"/>
              </w:rPr>
              <w:t xml:space="preserve"> Final </w:t>
            </w:r>
            <w:r w:rsidRPr="002C0E47">
              <w:rPr>
                <w:rFonts w:ascii="Franklin Gothic Book" w:hAnsi="Franklin Gothic Book" w:cs="Arial"/>
                <w:b/>
                <w:color w:val="FFFFFF"/>
                <w:sz w:val="20"/>
                <w:szCs w:val="20"/>
                <w:lang w:val="en-CA"/>
              </w:rPr>
              <w:t>Issue</w:t>
            </w:r>
          </w:p>
        </w:tc>
        <w:tc>
          <w:tcPr>
            <w:tcW w:w="6813" w:type="dxa"/>
            <w:tcBorders>
              <w:top w:val="single" w:sz="4" w:space="0" w:color="FFFFFF" w:themeColor="background1"/>
            </w:tcBorders>
            <w:shd w:val="clear" w:color="auto" w:fill="F2F2F2"/>
            <w:vAlign w:val="center"/>
          </w:tcPr>
          <w:p w14:paraId="3F834B60" w14:textId="3FAEAED5" w:rsidR="00F849C3" w:rsidRPr="002C0E47" w:rsidRDefault="00F955CA" w:rsidP="007853F4">
            <w:pPr>
              <w:pStyle w:val="Header"/>
              <w:spacing w:before="60" w:after="60"/>
              <w:rPr>
                <w:rFonts w:ascii="Franklin Gothic Book" w:hAnsi="Franklin Gothic Book" w:cs="Arial"/>
                <w:sz w:val="19"/>
                <w:szCs w:val="19"/>
                <w:lang w:val="en-CA"/>
              </w:rPr>
            </w:pPr>
            <w:r>
              <w:rPr>
                <w:rFonts w:ascii="Franklin Gothic Book" w:hAnsi="Franklin Gothic Book" w:cs="Arial"/>
                <w:i/>
                <w:sz w:val="19"/>
                <w:szCs w:val="19"/>
                <w:lang w:val="en-CA"/>
              </w:rPr>
              <w:t>&lt;pending&gt;</w:t>
            </w:r>
          </w:p>
        </w:tc>
      </w:tr>
    </w:tbl>
    <w:p w14:paraId="6703FF7E" w14:textId="77777777" w:rsidR="00F849C3" w:rsidRPr="008B0FD4" w:rsidRDefault="00F849C3" w:rsidP="007C42DA">
      <w:pPr>
        <w:spacing w:after="0"/>
        <w:rPr>
          <w:rFonts w:ascii="Arial Bold" w:hAnsi="Arial Bold"/>
          <w:color w:val="005B82"/>
          <w:sz w:val="22"/>
          <w:szCs w:val="22"/>
        </w:rPr>
      </w:pPr>
    </w:p>
    <w:tbl>
      <w:tblPr>
        <w:tblW w:w="9360" w:type="dxa"/>
        <w:tblInd w:w="108" w:type="dxa"/>
        <w:tblLook w:val="0000" w:firstRow="0" w:lastRow="0" w:firstColumn="0" w:lastColumn="0" w:noHBand="0" w:noVBand="0"/>
      </w:tblPr>
      <w:tblGrid>
        <w:gridCol w:w="9360"/>
      </w:tblGrid>
      <w:tr w:rsidR="00F849C3" w:rsidRPr="008B0FD4" w14:paraId="431E0FD6" w14:textId="77777777" w:rsidTr="00620C29">
        <w:tc>
          <w:tcPr>
            <w:tcW w:w="9270" w:type="dxa"/>
            <w:tcBorders>
              <w:bottom w:val="single" w:sz="4" w:space="0" w:color="FFFFFF" w:themeColor="background1"/>
            </w:tcBorders>
            <w:shd w:val="clear" w:color="auto" w:fill="2B3A57"/>
          </w:tcPr>
          <w:p w14:paraId="1F6D673B" w14:textId="77777777" w:rsidR="00F849C3" w:rsidRPr="00A75443" w:rsidRDefault="00F849C3" w:rsidP="00A75443">
            <w:pPr>
              <w:pStyle w:val="Header"/>
              <w:tabs>
                <w:tab w:val="clear" w:pos="4153"/>
                <w:tab w:val="clear" w:pos="8306"/>
              </w:tabs>
              <w:spacing w:before="80" w:after="200" w:line="312" w:lineRule="auto"/>
              <w:rPr>
                <w:rFonts w:ascii="Century Gothic" w:hAnsi="Century Gothic" w:cs="Arial"/>
                <w:b/>
                <w:color w:val="FFFFFF" w:themeColor="background1"/>
                <w:sz w:val="20"/>
                <w:szCs w:val="20"/>
                <w:lang w:val="en-CA"/>
              </w:rPr>
            </w:pPr>
            <w:r w:rsidRPr="00A75443">
              <w:rPr>
                <w:rFonts w:ascii="Century Gothic" w:hAnsi="Century Gothic" w:cs="Arial"/>
                <w:b/>
                <w:color w:val="FFFFFF" w:themeColor="background1"/>
                <w:sz w:val="20"/>
                <w:szCs w:val="20"/>
                <w:lang w:val="en-CA"/>
              </w:rPr>
              <w:t>Summary:</w:t>
            </w:r>
          </w:p>
        </w:tc>
      </w:tr>
      <w:tr w:rsidR="00F849C3" w:rsidRPr="008B0FD4" w14:paraId="78C0C676" w14:textId="77777777" w:rsidTr="00620C29">
        <w:tc>
          <w:tcPr>
            <w:tcW w:w="9270" w:type="dxa"/>
            <w:tcBorders>
              <w:top w:val="single" w:sz="4" w:space="0" w:color="FFFFFF" w:themeColor="background1"/>
            </w:tcBorders>
            <w:shd w:val="clear" w:color="auto" w:fill="F2F2F2"/>
          </w:tcPr>
          <w:p w14:paraId="5DFD6701" w14:textId="5075333D" w:rsidR="009C0C32" w:rsidRPr="00A75443" w:rsidRDefault="007862B2" w:rsidP="00F408A8">
            <w:pPr>
              <w:spacing w:before="120" w:after="120"/>
              <w:rPr>
                <w:rFonts w:ascii="Franklin Gothic Book" w:hAnsi="Franklin Gothic Book"/>
                <w:iCs/>
                <w:color w:val="4F5150"/>
                <w:spacing w:val="2"/>
                <w:sz w:val="19"/>
                <w:szCs w:val="19"/>
              </w:rPr>
            </w:pPr>
            <w:proofErr w:type="gramStart"/>
            <w:r>
              <w:rPr>
                <w:rFonts w:ascii="Franklin Gothic Book" w:hAnsi="Franklin Gothic Book"/>
                <w:iCs/>
                <w:color w:val="4F5150"/>
                <w:spacing w:val="2"/>
                <w:sz w:val="19"/>
                <w:szCs w:val="19"/>
              </w:rPr>
              <w:t xml:space="preserve">An accuracy review of the </w:t>
            </w:r>
            <w:proofErr w:type="spellStart"/>
            <w:r w:rsidR="00926736" w:rsidRPr="00926736">
              <w:rPr>
                <w:rFonts w:ascii="Franklin Gothic Book" w:hAnsi="Franklin Gothic Book"/>
                <w:iCs/>
                <w:color w:val="4F5150"/>
                <w:spacing w:val="2"/>
                <w:sz w:val="19"/>
                <w:szCs w:val="19"/>
              </w:rPr>
              <w:t>Boyabat</w:t>
            </w:r>
            <w:proofErr w:type="spellEnd"/>
            <w:r w:rsidR="00926736" w:rsidRPr="00926736">
              <w:rPr>
                <w:rFonts w:ascii="Franklin Gothic Book" w:hAnsi="Franklin Gothic Book"/>
                <w:iCs/>
                <w:color w:val="4F5150"/>
                <w:spacing w:val="2"/>
                <w:sz w:val="19"/>
                <w:szCs w:val="19"/>
              </w:rPr>
              <w:t xml:space="preserve"> Hydroelectric Power Plant </w:t>
            </w:r>
            <w:r>
              <w:rPr>
                <w:rFonts w:ascii="Franklin Gothic Book" w:hAnsi="Franklin Gothic Book" w:cs="Arial"/>
                <w:color w:val="4F5150"/>
                <w:spacing w:val="2"/>
                <w:sz w:val="19"/>
                <w:szCs w:val="19"/>
                <w:lang w:val="en-CA"/>
              </w:rPr>
              <w:t xml:space="preserve">verification approval </w:t>
            </w:r>
            <w:r w:rsidR="009C0C32" w:rsidRPr="00A75443">
              <w:rPr>
                <w:rFonts w:ascii="Franklin Gothic Book" w:hAnsi="Franklin Gothic Book"/>
                <w:iCs/>
                <w:color w:val="4F5150"/>
                <w:spacing w:val="2"/>
                <w:sz w:val="19"/>
                <w:szCs w:val="19"/>
              </w:rPr>
              <w:t>re</w:t>
            </w:r>
            <w:r w:rsidR="00077679" w:rsidRPr="00A75443">
              <w:rPr>
                <w:rFonts w:ascii="Franklin Gothic Book" w:hAnsi="Franklin Gothic Book"/>
                <w:iCs/>
                <w:color w:val="4F5150"/>
                <w:spacing w:val="2"/>
                <w:sz w:val="19"/>
                <w:szCs w:val="19"/>
              </w:rPr>
              <w:t>quest has been conducted by V</w:t>
            </w:r>
            <w:r w:rsidR="00106DBB" w:rsidRPr="00A75443">
              <w:rPr>
                <w:rFonts w:ascii="Franklin Gothic Book" w:hAnsi="Franklin Gothic Book"/>
                <w:iCs/>
                <w:color w:val="4F5150"/>
                <w:spacing w:val="2"/>
                <w:sz w:val="19"/>
                <w:szCs w:val="19"/>
              </w:rPr>
              <w:t>erra</w:t>
            </w:r>
            <w:r w:rsidR="009C0C32" w:rsidRPr="00A75443">
              <w:rPr>
                <w:rFonts w:ascii="Franklin Gothic Book" w:hAnsi="Franklin Gothic Book"/>
                <w:iCs/>
                <w:color w:val="4F5150"/>
                <w:spacing w:val="2"/>
                <w:sz w:val="19"/>
                <w:szCs w:val="19"/>
              </w:rPr>
              <w:t xml:space="preserve"> in accordance with </w:t>
            </w:r>
            <w:r w:rsidR="009C0C32" w:rsidRPr="007862B2">
              <w:rPr>
                <w:rFonts w:ascii="Franklin Gothic Book" w:hAnsi="Franklin Gothic Book"/>
                <w:iCs/>
                <w:color w:val="4F5150"/>
                <w:spacing w:val="2"/>
                <w:sz w:val="19"/>
                <w:szCs w:val="19"/>
              </w:rPr>
              <w:t xml:space="preserve">Section 4.3 of the </w:t>
            </w:r>
            <w:r w:rsidR="009C0C32" w:rsidRPr="007862B2">
              <w:rPr>
                <w:rFonts w:ascii="Franklin Gothic Book" w:hAnsi="Franklin Gothic Book"/>
                <w:i/>
                <w:iCs/>
                <w:color w:val="4F5150"/>
                <w:spacing w:val="2"/>
                <w:sz w:val="19"/>
                <w:szCs w:val="19"/>
              </w:rPr>
              <w:t>Registration and Issuance Process</w:t>
            </w:r>
            <w:proofErr w:type="gramEnd"/>
            <w:r w:rsidRPr="007862B2">
              <w:rPr>
                <w:rFonts w:ascii="Franklin Gothic Book" w:hAnsi="Franklin Gothic Book"/>
                <w:iCs/>
                <w:color w:val="4F5150"/>
                <w:spacing w:val="2"/>
                <w:sz w:val="19"/>
                <w:szCs w:val="19"/>
              </w:rPr>
              <w:t>.</w:t>
            </w:r>
            <w:r w:rsidR="009C0C32" w:rsidRPr="00A75443">
              <w:rPr>
                <w:rFonts w:ascii="Franklin Gothic Book" w:hAnsi="Franklin Gothic Book"/>
                <w:iCs/>
                <w:color w:val="4F5150"/>
                <w:spacing w:val="2"/>
                <w:sz w:val="19"/>
                <w:szCs w:val="19"/>
              </w:rPr>
              <w:t xml:space="preserve"> </w:t>
            </w:r>
          </w:p>
          <w:p w14:paraId="615324F4" w14:textId="653DAFF9" w:rsidR="0057727F" w:rsidRPr="00A75443" w:rsidRDefault="009C0C32" w:rsidP="00F408A8">
            <w:pPr>
              <w:spacing w:before="120" w:after="120"/>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 xml:space="preserve">The accuracy review has raised </w:t>
            </w:r>
            <w:r w:rsidR="007862B2">
              <w:rPr>
                <w:rFonts w:ascii="Franklin Gothic Book" w:hAnsi="Franklin Gothic Book"/>
                <w:iCs/>
                <w:color w:val="4F5150"/>
                <w:spacing w:val="2"/>
                <w:sz w:val="19"/>
                <w:szCs w:val="19"/>
              </w:rPr>
              <w:t>one assessment finding</w:t>
            </w:r>
            <w:r w:rsidRPr="00A75443">
              <w:rPr>
                <w:rFonts w:ascii="Franklin Gothic Book" w:hAnsi="Franklin Gothic Book"/>
                <w:iCs/>
                <w:color w:val="4F5150"/>
                <w:spacing w:val="2"/>
                <w:sz w:val="19"/>
                <w:szCs w:val="19"/>
              </w:rPr>
              <w:t xml:space="preserve"> and </w:t>
            </w:r>
            <w:r w:rsidR="007862B2">
              <w:rPr>
                <w:rFonts w:ascii="Franklin Gothic Book" w:hAnsi="Franklin Gothic Book"/>
                <w:iCs/>
                <w:color w:val="4F5150"/>
                <w:spacing w:val="2"/>
                <w:sz w:val="19"/>
                <w:szCs w:val="19"/>
              </w:rPr>
              <w:t>no</w:t>
            </w:r>
            <w:r w:rsidRPr="00A75443">
              <w:rPr>
                <w:rFonts w:ascii="Franklin Gothic Book" w:hAnsi="Franklin Gothic Book"/>
                <w:iCs/>
                <w:color w:val="4F5150"/>
                <w:spacing w:val="2"/>
                <w:sz w:val="19"/>
                <w:szCs w:val="19"/>
              </w:rPr>
              <w:t xml:space="preserve"> minor finding</w:t>
            </w:r>
            <w:r w:rsidR="00575727" w:rsidRPr="00A75443">
              <w:rPr>
                <w:rFonts w:ascii="Franklin Gothic Book" w:hAnsi="Franklin Gothic Book"/>
                <w:iCs/>
                <w:color w:val="4F5150"/>
                <w:spacing w:val="2"/>
                <w:sz w:val="19"/>
                <w:szCs w:val="19"/>
              </w:rPr>
              <w:t>s</w:t>
            </w:r>
            <w:r w:rsidRPr="00A75443">
              <w:rPr>
                <w:rFonts w:ascii="Franklin Gothic Book" w:hAnsi="Franklin Gothic Book"/>
                <w:iCs/>
                <w:color w:val="4F5150"/>
                <w:spacing w:val="2"/>
                <w:sz w:val="19"/>
                <w:szCs w:val="19"/>
              </w:rPr>
              <w:t xml:space="preserve">, detailed below. The VVB, in coordination with the project proponent, is hereby required to provide a response to the assessment findings presented </w:t>
            </w:r>
            <w:r w:rsidR="00483976" w:rsidRPr="00A75443">
              <w:rPr>
                <w:rFonts w:ascii="Franklin Gothic Book" w:hAnsi="Franklin Gothic Book"/>
                <w:iCs/>
                <w:color w:val="4F5150"/>
                <w:spacing w:val="2"/>
                <w:sz w:val="19"/>
                <w:szCs w:val="19"/>
              </w:rPr>
              <w:t>in S</w:t>
            </w:r>
            <w:r w:rsidRPr="00A75443">
              <w:rPr>
                <w:rFonts w:ascii="Franklin Gothic Book" w:hAnsi="Franklin Gothic Book"/>
                <w:iCs/>
                <w:color w:val="4F5150"/>
                <w:spacing w:val="2"/>
                <w:sz w:val="19"/>
                <w:szCs w:val="19"/>
              </w:rPr>
              <w:t xml:space="preserve">ection 1. The </w:t>
            </w:r>
            <w:r w:rsidR="007862B2">
              <w:rPr>
                <w:rFonts w:ascii="Franklin Gothic Book" w:hAnsi="Franklin Gothic Book"/>
                <w:iCs/>
                <w:color w:val="4F5150"/>
                <w:spacing w:val="2"/>
                <w:sz w:val="19"/>
                <w:szCs w:val="19"/>
              </w:rPr>
              <w:t>one</w:t>
            </w:r>
            <w:r w:rsidRPr="00A75443">
              <w:rPr>
                <w:rFonts w:ascii="Franklin Gothic Book" w:hAnsi="Franklin Gothic Book"/>
                <w:iCs/>
                <w:color w:val="4F5150"/>
                <w:spacing w:val="2"/>
                <w:sz w:val="19"/>
                <w:szCs w:val="19"/>
              </w:rPr>
              <w:t xml:space="preserve"> assessment finding </w:t>
            </w:r>
            <w:proofErr w:type="gramStart"/>
            <w:r w:rsidRPr="00A75443">
              <w:rPr>
                <w:rFonts w:ascii="Franklin Gothic Book" w:hAnsi="Franklin Gothic Book"/>
                <w:iCs/>
                <w:color w:val="4F5150"/>
                <w:spacing w:val="2"/>
                <w:sz w:val="19"/>
                <w:szCs w:val="19"/>
              </w:rPr>
              <w:t>must be addre</w:t>
            </w:r>
            <w:r w:rsidR="00077679" w:rsidRPr="00A75443">
              <w:rPr>
                <w:rFonts w:ascii="Franklin Gothic Book" w:hAnsi="Franklin Gothic Book"/>
                <w:iCs/>
                <w:color w:val="4F5150"/>
                <w:spacing w:val="2"/>
                <w:sz w:val="19"/>
                <w:szCs w:val="19"/>
              </w:rPr>
              <w:t>ssed</w:t>
            </w:r>
            <w:proofErr w:type="gramEnd"/>
            <w:r w:rsidR="00077679" w:rsidRPr="00A75443">
              <w:rPr>
                <w:rFonts w:ascii="Franklin Gothic Book" w:hAnsi="Franklin Gothic Book"/>
                <w:iCs/>
                <w:color w:val="4F5150"/>
                <w:spacing w:val="2"/>
                <w:sz w:val="19"/>
                <w:szCs w:val="19"/>
              </w:rPr>
              <w:t xml:space="preserve"> to the satisfaction of V</w:t>
            </w:r>
            <w:r w:rsidR="00106DBB" w:rsidRPr="00A75443">
              <w:rPr>
                <w:rFonts w:ascii="Franklin Gothic Book" w:hAnsi="Franklin Gothic Book"/>
                <w:iCs/>
                <w:color w:val="4F5150"/>
                <w:spacing w:val="2"/>
                <w:sz w:val="19"/>
                <w:szCs w:val="19"/>
              </w:rPr>
              <w:t>erra</w:t>
            </w:r>
            <w:r w:rsidRPr="00A75443">
              <w:rPr>
                <w:rFonts w:ascii="Franklin Gothic Book" w:hAnsi="Franklin Gothic Book"/>
                <w:iCs/>
                <w:color w:val="4F5150"/>
                <w:spacing w:val="2"/>
                <w:sz w:val="19"/>
                <w:szCs w:val="19"/>
              </w:rPr>
              <w:t xml:space="preserve">. The VVB need not address </w:t>
            </w:r>
            <w:r w:rsidR="00AC3D95" w:rsidRPr="00A75443">
              <w:rPr>
                <w:rFonts w:ascii="Franklin Gothic Book" w:hAnsi="Franklin Gothic Book"/>
                <w:iCs/>
                <w:color w:val="4F5150"/>
                <w:spacing w:val="2"/>
                <w:sz w:val="19"/>
                <w:szCs w:val="19"/>
              </w:rPr>
              <w:t>the minor finding</w:t>
            </w:r>
            <w:r w:rsidR="004C62A5" w:rsidRPr="00A75443">
              <w:rPr>
                <w:rFonts w:ascii="Franklin Gothic Book" w:hAnsi="Franklin Gothic Book"/>
                <w:iCs/>
                <w:color w:val="4F5150"/>
                <w:spacing w:val="2"/>
                <w:sz w:val="19"/>
                <w:szCs w:val="19"/>
              </w:rPr>
              <w:t>s</w:t>
            </w:r>
            <w:r w:rsidRPr="00A75443">
              <w:rPr>
                <w:rFonts w:ascii="Franklin Gothic Book" w:hAnsi="Franklin Gothic Book"/>
                <w:iCs/>
                <w:color w:val="4F5150"/>
                <w:spacing w:val="2"/>
                <w:sz w:val="19"/>
                <w:szCs w:val="19"/>
              </w:rPr>
              <w:t xml:space="preserve"> during this review. </w:t>
            </w:r>
          </w:p>
          <w:p w14:paraId="1E107763" w14:textId="48F014B7" w:rsidR="009C0C32" w:rsidRPr="00A75443" w:rsidRDefault="009C0C32" w:rsidP="00F408A8">
            <w:pPr>
              <w:pStyle w:val="Default"/>
              <w:spacing w:before="120" w:after="120" w:line="288" w:lineRule="auto"/>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This</w:t>
            </w:r>
            <w:r w:rsidR="00BF49A4">
              <w:rPr>
                <w:rFonts w:ascii="Franklin Gothic Book" w:hAnsi="Franklin Gothic Book"/>
                <w:iCs/>
                <w:color w:val="4F5150"/>
                <w:spacing w:val="2"/>
                <w:sz w:val="19"/>
                <w:szCs w:val="19"/>
              </w:rPr>
              <w:t xml:space="preserve"> project review</w:t>
            </w:r>
            <w:r w:rsidRPr="00A75443">
              <w:rPr>
                <w:rFonts w:ascii="Franklin Gothic Book" w:hAnsi="Franklin Gothic Book"/>
                <w:iCs/>
                <w:color w:val="4F5150"/>
                <w:spacing w:val="2"/>
                <w:sz w:val="19"/>
                <w:szCs w:val="19"/>
              </w:rPr>
              <w:t xml:space="preserve"> report </w:t>
            </w:r>
            <w:proofErr w:type="gramStart"/>
            <w:r w:rsidR="00BF49A4">
              <w:rPr>
                <w:rFonts w:ascii="Franklin Gothic Book" w:hAnsi="Franklin Gothic Book"/>
                <w:iCs/>
                <w:color w:val="4F5150"/>
                <w:spacing w:val="2"/>
                <w:sz w:val="19"/>
                <w:szCs w:val="19"/>
              </w:rPr>
              <w:t>will</w:t>
            </w:r>
            <w:r w:rsidR="004C406C" w:rsidRPr="00A75443">
              <w:rPr>
                <w:rFonts w:ascii="Franklin Gothic Book" w:hAnsi="Franklin Gothic Book"/>
                <w:iCs/>
                <w:color w:val="4F5150"/>
                <w:spacing w:val="2"/>
                <w:sz w:val="19"/>
                <w:szCs w:val="19"/>
              </w:rPr>
              <w:t xml:space="preserve"> be made</w:t>
            </w:r>
            <w:proofErr w:type="gramEnd"/>
            <w:r w:rsidR="004C406C" w:rsidRPr="00A75443">
              <w:rPr>
                <w:rFonts w:ascii="Franklin Gothic Book" w:hAnsi="Franklin Gothic Book"/>
                <w:iCs/>
                <w:color w:val="4F5150"/>
                <w:spacing w:val="2"/>
                <w:sz w:val="19"/>
                <w:szCs w:val="19"/>
              </w:rPr>
              <w:t xml:space="preserve"> publicly</w:t>
            </w:r>
            <w:r w:rsidR="00575727" w:rsidRPr="00A75443">
              <w:rPr>
                <w:rFonts w:ascii="Franklin Gothic Book" w:hAnsi="Franklin Gothic Book"/>
                <w:iCs/>
                <w:color w:val="4F5150"/>
                <w:spacing w:val="2"/>
                <w:sz w:val="19"/>
                <w:szCs w:val="19"/>
              </w:rPr>
              <w:t xml:space="preserve"> available. C</w:t>
            </w:r>
            <w:r w:rsidR="00CD43A5" w:rsidRPr="00A75443">
              <w:rPr>
                <w:rFonts w:ascii="Franklin Gothic Book" w:hAnsi="Franklin Gothic Book"/>
                <w:iCs/>
                <w:color w:val="4F5150"/>
                <w:spacing w:val="2"/>
                <w:sz w:val="19"/>
                <w:szCs w:val="19"/>
              </w:rPr>
              <w:t xml:space="preserve">onfidential information </w:t>
            </w:r>
            <w:proofErr w:type="gramStart"/>
            <w:r w:rsidR="00CD43A5" w:rsidRPr="00A75443">
              <w:rPr>
                <w:rFonts w:ascii="Franklin Gothic Book" w:hAnsi="Franklin Gothic Book"/>
                <w:iCs/>
                <w:color w:val="4F5150"/>
                <w:spacing w:val="2"/>
                <w:sz w:val="19"/>
                <w:szCs w:val="19"/>
              </w:rPr>
              <w:t>may be provided</w:t>
            </w:r>
            <w:proofErr w:type="gramEnd"/>
            <w:r w:rsidR="00CD43A5" w:rsidRPr="00A75443">
              <w:rPr>
                <w:rFonts w:ascii="Franklin Gothic Book" w:hAnsi="Franklin Gothic Book"/>
                <w:iCs/>
                <w:color w:val="4F5150"/>
                <w:spacing w:val="2"/>
                <w:sz w:val="19"/>
                <w:szCs w:val="19"/>
              </w:rPr>
              <w:t xml:space="preserve"> as separate attachments.</w:t>
            </w:r>
          </w:p>
        </w:tc>
      </w:tr>
    </w:tbl>
    <w:p w14:paraId="07DF1D7F" w14:textId="1674EE32" w:rsidR="0013789E" w:rsidRDefault="0013789E">
      <w:pPr>
        <w:spacing w:after="0" w:line="240" w:lineRule="auto"/>
        <w:rPr>
          <w:lang w:val="en-CA"/>
        </w:rPr>
      </w:pPr>
      <w:r>
        <w:rPr>
          <w:lang w:val="en-CA"/>
        </w:rPr>
        <w:br w:type="page"/>
      </w:r>
    </w:p>
    <w:p w14:paraId="524ADA66" w14:textId="67F8CE99" w:rsidR="00554CA9" w:rsidRPr="00554CA9" w:rsidRDefault="005C5283" w:rsidP="0046282B">
      <w:pPr>
        <w:pStyle w:val="Heading1"/>
        <w:numPr>
          <w:ilvl w:val="0"/>
          <w:numId w:val="3"/>
        </w:numPr>
        <w:rPr>
          <w:b w:val="0"/>
          <w:bCs w:val="0"/>
          <w:color w:val="057299"/>
        </w:rPr>
      </w:pPr>
      <w:r w:rsidRPr="00554CA9">
        <w:rPr>
          <w:b w:val="0"/>
          <w:bCs w:val="0"/>
          <w:color w:val="057299"/>
        </w:rPr>
        <w:lastRenderedPageBreak/>
        <w:t>A</w:t>
      </w:r>
      <w:r w:rsidR="00605FE0" w:rsidRPr="00554CA9">
        <w:rPr>
          <w:b w:val="0"/>
          <w:bCs w:val="0"/>
          <w:color w:val="057299"/>
        </w:rPr>
        <w:t>ssessment</w:t>
      </w:r>
      <w:r w:rsidRPr="00554CA9">
        <w:rPr>
          <w:b w:val="0"/>
          <w:bCs w:val="0"/>
          <w:color w:val="057299"/>
        </w:rPr>
        <w:t xml:space="preserve"> F</w:t>
      </w:r>
      <w:r w:rsidR="00605FE0" w:rsidRPr="00554CA9">
        <w:rPr>
          <w:b w:val="0"/>
          <w:bCs w:val="0"/>
          <w:color w:val="057299"/>
        </w:rPr>
        <w:t>indings</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EE27BB" w:rsidRPr="00E712AF" w14:paraId="0C2FA431" w14:textId="77777777" w:rsidTr="0033417C">
        <w:trPr>
          <w:trHeight w:val="404"/>
        </w:trPr>
        <w:tc>
          <w:tcPr>
            <w:tcW w:w="8882" w:type="dxa"/>
            <w:tcBorders>
              <w:bottom w:val="single" w:sz="4" w:space="0" w:color="FFFFFF" w:themeColor="background1"/>
            </w:tcBorders>
            <w:shd w:val="clear" w:color="auto" w:fill="2B3A57"/>
          </w:tcPr>
          <w:p w14:paraId="42ECA981" w14:textId="55FCD34E" w:rsidR="00286ADB" w:rsidRPr="00620C29" w:rsidRDefault="00EE27BB" w:rsidP="00286ADB">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Finding 1</w:t>
            </w:r>
          </w:p>
        </w:tc>
      </w:tr>
      <w:tr w:rsidR="007862B2" w:rsidRPr="00E712AF" w14:paraId="4170AABA" w14:textId="77777777" w:rsidTr="00620C29">
        <w:tc>
          <w:tcPr>
            <w:tcW w:w="8882" w:type="dxa"/>
            <w:tcBorders>
              <w:top w:val="single" w:sz="4" w:space="0" w:color="FFFFFF" w:themeColor="background1"/>
              <w:bottom w:val="single" w:sz="4" w:space="0" w:color="FFFFFF" w:themeColor="background1"/>
            </w:tcBorders>
            <w:shd w:val="clear" w:color="auto" w:fill="F2F2F2"/>
          </w:tcPr>
          <w:p w14:paraId="678163DF" w14:textId="77777777" w:rsidR="00EE45F5" w:rsidRDefault="00F857F5" w:rsidP="00F857F5">
            <w:pPr>
              <w:widowControl w:val="0"/>
              <w:spacing w:before="120" w:after="120"/>
              <w:jc w:val="both"/>
              <w:rPr>
                <w:iCs/>
                <w:color w:val="404040"/>
              </w:rPr>
            </w:pPr>
            <w:r w:rsidRPr="00F857F5">
              <w:rPr>
                <w:iCs/>
                <w:color w:val="404040"/>
              </w:rPr>
              <w:t xml:space="preserve">With the development and release of the VCS Standard, v4.0, Verra articulated its position that certain project types in certain contexts have moved beyond their need to </w:t>
            </w:r>
            <w:proofErr w:type="gramStart"/>
            <w:r w:rsidRPr="00F857F5">
              <w:rPr>
                <w:iCs/>
                <w:color w:val="404040"/>
              </w:rPr>
              <w:t>be supported</w:t>
            </w:r>
            <w:proofErr w:type="gramEnd"/>
            <w:r w:rsidRPr="00F857F5">
              <w:rPr>
                <w:iCs/>
                <w:color w:val="404040"/>
              </w:rPr>
              <w:t xml:space="preserve"> by carbon financing. The rationale and logic behind this position </w:t>
            </w:r>
            <w:proofErr w:type="gramStart"/>
            <w:r w:rsidRPr="00F857F5">
              <w:rPr>
                <w:iCs/>
                <w:color w:val="404040"/>
              </w:rPr>
              <w:t>was described</w:t>
            </w:r>
            <w:proofErr w:type="gramEnd"/>
            <w:r w:rsidRPr="00F857F5">
              <w:rPr>
                <w:iCs/>
                <w:color w:val="404040"/>
              </w:rPr>
              <w:t xml:space="preserve"> in consultations held in </w:t>
            </w:r>
            <w:hyperlink r:id="rId8" w:history="1">
              <w:r w:rsidRPr="00F857F5">
                <w:rPr>
                  <w:rStyle w:val="Hyperlink"/>
                  <w:iCs/>
                </w:rPr>
                <w:t>May 2018</w:t>
              </w:r>
            </w:hyperlink>
            <w:r w:rsidRPr="00F857F5">
              <w:rPr>
                <w:iCs/>
                <w:color w:val="404040"/>
              </w:rPr>
              <w:t xml:space="preserve"> and in </w:t>
            </w:r>
            <w:hyperlink r:id="rId9" w:history="1">
              <w:r w:rsidRPr="00F857F5">
                <w:rPr>
                  <w:rStyle w:val="Hyperlink"/>
                  <w:iCs/>
                </w:rPr>
                <w:t>June 2019</w:t>
              </w:r>
            </w:hyperlink>
            <w:r w:rsidRPr="00F857F5">
              <w:rPr>
                <w:iCs/>
                <w:color w:val="404040"/>
              </w:rPr>
              <w:t>.</w:t>
            </w:r>
          </w:p>
          <w:p w14:paraId="030A6927" w14:textId="08853001" w:rsidR="007862B2" w:rsidRPr="00F857F5" w:rsidRDefault="00EE45F5" w:rsidP="00F65E7A">
            <w:pPr>
              <w:widowControl w:val="0"/>
              <w:spacing w:before="120" w:after="120"/>
              <w:jc w:val="both"/>
              <w:rPr>
                <w:iCs/>
                <w:color w:val="404040"/>
              </w:rPr>
            </w:pPr>
            <w:r w:rsidRPr="00EE45F5">
              <w:rPr>
                <w:iCs/>
                <w:color w:val="404040"/>
              </w:rPr>
              <w:t xml:space="preserve">In this particular case, Verra acknowledges </w:t>
            </w:r>
            <w:r>
              <w:rPr>
                <w:iCs/>
                <w:color w:val="404040"/>
              </w:rPr>
              <w:t>t</w:t>
            </w:r>
            <w:r w:rsidR="00F857F5">
              <w:rPr>
                <w:iCs/>
                <w:color w:val="404040"/>
              </w:rPr>
              <w:t xml:space="preserve">he current </w:t>
            </w:r>
            <w:r w:rsidR="00F857F5" w:rsidRPr="00EE45F5">
              <w:rPr>
                <w:i/>
                <w:iCs/>
                <w:color w:val="404040"/>
              </w:rPr>
              <w:t>registered</w:t>
            </w:r>
            <w:r w:rsidR="00F857F5">
              <w:rPr>
                <w:iCs/>
                <w:color w:val="404040"/>
              </w:rPr>
              <w:t xml:space="preserve"> status of this project</w:t>
            </w:r>
            <w:r w:rsidR="00F857F5" w:rsidRPr="00F857F5">
              <w:rPr>
                <w:iCs/>
                <w:color w:val="404040"/>
              </w:rPr>
              <w:t xml:space="preserve"> and the additionality demonstration in the project description, per the </w:t>
            </w:r>
            <w:r w:rsidR="00F857F5" w:rsidRPr="00EE45F5">
              <w:rPr>
                <w:i/>
                <w:iCs/>
                <w:color w:val="404040"/>
              </w:rPr>
              <w:t>Methodological Tool: Tool for the demonstration and assessment of additionality</w:t>
            </w:r>
            <w:r w:rsidR="00F857F5" w:rsidRPr="00F857F5">
              <w:rPr>
                <w:iCs/>
                <w:color w:val="404040"/>
              </w:rPr>
              <w:t>. However, given the extraordinary size of</w:t>
            </w:r>
            <w:r w:rsidR="00F857F5">
              <w:rPr>
                <w:iCs/>
                <w:color w:val="404040"/>
              </w:rPr>
              <w:t xml:space="preserve"> 51</w:t>
            </w:r>
            <w:r w:rsidR="00926736">
              <w:rPr>
                <w:iCs/>
                <w:color w:val="404040"/>
              </w:rPr>
              <w:t>3</w:t>
            </w:r>
            <w:r w:rsidR="00F857F5" w:rsidRPr="00F857F5">
              <w:rPr>
                <w:iCs/>
                <w:color w:val="404040"/>
              </w:rPr>
              <w:t xml:space="preserve"> MW and associated capital expenditure required for development, </w:t>
            </w:r>
            <w:r w:rsidR="00F857F5">
              <w:rPr>
                <w:iCs/>
                <w:color w:val="404040"/>
              </w:rPr>
              <w:t xml:space="preserve">and given the project has not </w:t>
            </w:r>
            <w:r>
              <w:rPr>
                <w:iCs/>
                <w:color w:val="404040"/>
              </w:rPr>
              <w:t xml:space="preserve">issued carbon credits, Verra remains concerned about the additionality of such a project. </w:t>
            </w:r>
            <w:r w:rsidR="00F857F5">
              <w:rPr>
                <w:iCs/>
                <w:color w:val="404040"/>
              </w:rPr>
              <w:t xml:space="preserve"> </w:t>
            </w:r>
            <w:r w:rsidR="00F857F5" w:rsidRPr="00F857F5">
              <w:rPr>
                <w:iCs/>
                <w:color w:val="404040"/>
              </w:rPr>
              <w:t xml:space="preserve">As such, Verra requests the project proponent provide additional justification and elaboration on the </w:t>
            </w:r>
            <w:proofErr w:type="gramStart"/>
            <w:r w:rsidR="00F857F5" w:rsidRPr="00F857F5">
              <w:rPr>
                <w:iCs/>
                <w:color w:val="404040"/>
              </w:rPr>
              <w:t>circumstances which</w:t>
            </w:r>
            <w:proofErr w:type="gramEnd"/>
            <w:r w:rsidR="00F857F5" w:rsidRPr="00F857F5">
              <w:rPr>
                <w:iCs/>
                <w:color w:val="404040"/>
              </w:rPr>
              <w:t xml:space="preserve"> lead to the project’s clear need for carbon finance as a means to ensure the fin</w:t>
            </w:r>
            <w:r>
              <w:rPr>
                <w:iCs/>
                <w:color w:val="404040"/>
              </w:rPr>
              <w:t>ancial viability of the project, and why this mechanism has not been taken advantage of in the past decade.</w:t>
            </w:r>
          </w:p>
        </w:tc>
      </w:tr>
      <w:tr w:rsidR="007862B2" w:rsidRPr="00E712AF" w14:paraId="4DA1081B" w14:textId="77777777" w:rsidTr="00620C29">
        <w:tc>
          <w:tcPr>
            <w:tcW w:w="8882" w:type="dxa"/>
            <w:tcBorders>
              <w:top w:val="single" w:sz="4" w:space="0" w:color="FFFFFF" w:themeColor="background1"/>
              <w:bottom w:val="single" w:sz="4" w:space="0" w:color="FFFFFF" w:themeColor="background1"/>
            </w:tcBorders>
            <w:shd w:val="clear" w:color="auto" w:fill="F2F2F2"/>
          </w:tcPr>
          <w:p w14:paraId="24F3B26E" w14:textId="1C41D70E" w:rsidR="007862B2" w:rsidRPr="00924361" w:rsidRDefault="007862B2" w:rsidP="007862B2">
            <w:pPr>
              <w:widowControl w:val="0"/>
              <w:tabs>
                <w:tab w:val="left" w:pos="2580"/>
              </w:tabs>
              <w:spacing w:before="120" w:after="120"/>
              <w:jc w:val="both"/>
              <w:rPr>
                <w:b/>
                <w:bCs/>
                <w:iCs/>
                <w:color w:val="404040"/>
              </w:rPr>
            </w:pPr>
            <w:r w:rsidRPr="00924361">
              <w:rPr>
                <w:b/>
                <w:bCs/>
                <w:iCs/>
                <w:color w:val="404040"/>
              </w:rPr>
              <w:t>VVB Response</w:t>
            </w:r>
            <w:r w:rsidR="006F0B3B">
              <w:rPr>
                <w:rStyle w:val="FootnoteReference"/>
                <w:b/>
                <w:bCs/>
                <w:iCs/>
                <w:color w:val="404040"/>
              </w:rPr>
              <w:footnoteReference w:id="1"/>
            </w:r>
            <w:r w:rsidRPr="00924361">
              <w:rPr>
                <w:b/>
                <w:bCs/>
                <w:iCs/>
                <w:color w:val="404040"/>
              </w:rPr>
              <w:t xml:space="preserve">: </w:t>
            </w:r>
          </w:p>
          <w:p w14:paraId="07B3042C" w14:textId="77777777" w:rsidR="00D22A79" w:rsidRDefault="00E31C0D" w:rsidP="007862B2">
            <w:pPr>
              <w:widowControl w:val="0"/>
              <w:tabs>
                <w:tab w:val="left" w:pos="2580"/>
              </w:tabs>
              <w:spacing w:before="120" w:after="120" w:line="240" w:lineRule="auto"/>
              <w:rPr>
                <w:rFonts w:ascii="Franklin Gothic Book" w:hAnsi="Franklin Gothic Book"/>
                <w:iCs/>
                <w:color w:val="404040"/>
                <w:szCs w:val="20"/>
              </w:rPr>
            </w:pPr>
            <w:r w:rsidRPr="004473BC">
              <w:rPr>
                <w:rFonts w:ascii="Franklin Gothic Book" w:hAnsi="Franklin Gothic Book"/>
                <w:iCs/>
                <w:color w:val="404040"/>
                <w:szCs w:val="20"/>
              </w:rPr>
              <w:t xml:space="preserve">Please note that the additionality of the project was defended based on the CDM rules and tools and it </w:t>
            </w:r>
            <w:proofErr w:type="gramStart"/>
            <w:r w:rsidRPr="004473BC">
              <w:rPr>
                <w:rFonts w:ascii="Franklin Gothic Book" w:hAnsi="Franklin Gothic Book"/>
                <w:iCs/>
                <w:color w:val="404040"/>
                <w:szCs w:val="20"/>
              </w:rPr>
              <w:t>was also</w:t>
            </w:r>
            <w:proofErr w:type="gramEnd"/>
            <w:r w:rsidRPr="004473BC">
              <w:rPr>
                <w:rFonts w:ascii="Franklin Gothic Book" w:hAnsi="Franklin Gothic Book"/>
                <w:iCs/>
                <w:color w:val="404040"/>
                <w:szCs w:val="20"/>
              </w:rPr>
              <w:t xml:space="preserve"> defended at the stage of registration. However, one may think that the project </w:t>
            </w:r>
            <w:proofErr w:type="gramStart"/>
            <w:r w:rsidRPr="004473BC">
              <w:rPr>
                <w:rFonts w:ascii="Franklin Gothic Book" w:hAnsi="Franklin Gothic Book"/>
                <w:iCs/>
                <w:color w:val="404040"/>
                <w:szCs w:val="20"/>
              </w:rPr>
              <w:t>didn’t</w:t>
            </w:r>
            <w:proofErr w:type="gramEnd"/>
            <w:r w:rsidRPr="004473BC">
              <w:rPr>
                <w:rFonts w:ascii="Franklin Gothic Book" w:hAnsi="Franklin Gothic Book"/>
                <w:iCs/>
                <w:color w:val="404040"/>
                <w:szCs w:val="20"/>
              </w:rPr>
              <w:t xml:space="preserve"> apply for the approval of the verification report or didn’t try to issue the verified tonnes so the efforts and attempts related to carbon finance was decorative but not really needed. Yet this is </w:t>
            </w:r>
            <w:proofErr w:type="gramStart"/>
            <w:r w:rsidR="00DE5E9B" w:rsidRPr="004473BC">
              <w:rPr>
                <w:rFonts w:ascii="Franklin Gothic Book" w:hAnsi="Franklin Gothic Book"/>
                <w:iCs/>
                <w:color w:val="404040"/>
                <w:szCs w:val="20"/>
              </w:rPr>
              <w:t xml:space="preserve">really </w:t>
            </w:r>
            <w:r w:rsidRPr="004473BC">
              <w:rPr>
                <w:rFonts w:ascii="Franklin Gothic Book" w:hAnsi="Franklin Gothic Book"/>
                <w:iCs/>
                <w:color w:val="404040"/>
                <w:szCs w:val="20"/>
              </w:rPr>
              <w:t>not</w:t>
            </w:r>
            <w:proofErr w:type="gramEnd"/>
            <w:r w:rsidRPr="004473BC">
              <w:rPr>
                <w:rFonts w:ascii="Franklin Gothic Book" w:hAnsi="Franklin Gothic Book"/>
                <w:iCs/>
                <w:color w:val="404040"/>
                <w:szCs w:val="20"/>
              </w:rPr>
              <w:t xml:space="preserve"> the case</w:t>
            </w:r>
            <w:r w:rsidR="00DE5E9B" w:rsidRPr="004473BC">
              <w:rPr>
                <w:rFonts w:ascii="Franklin Gothic Book" w:hAnsi="Franklin Gothic Book"/>
                <w:iCs/>
                <w:color w:val="404040"/>
                <w:szCs w:val="20"/>
              </w:rPr>
              <w:t>.</w:t>
            </w:r>
          </w:p>
          <w:p w14:paraId="764D7FE9" w14:textId="39DEFCD5" w:rsidR="00BD323E" w:rsidRDefault="00DE5E9B" w:rsidP="007862B2">
            <w:pPr>
              <w:widowControl w:val="0"/>
              <w:tabs>
                <w:tab w:val="left" w:pos="2580"/>
              </w:tabs>
              <w:spacing w:before="120" w:after="120" w:line="240" w:lineRule="auto"/>
              <w:rPr>
                <w:rFonts w:ascii="Franklin Gothic Book" w:hAnsi="Franklin Gothic Book"/>
                <w:iCs/>
                <w:color w:val="404040"/>
                <w:szCs w:val="20"/>
              </w:rPr>
            </w:pPr>
            <w:r w:rsidRPr="004473BC">
              <w:rPr>
                <w:rFonts w:ascii="Franklin Gothic Book" w:hAnsi="Franklin Gothic Book"/>
                <w:iCs/>
                <w:color w:val="404040"/>
                <w:szCs w:val="20"/>
              </w:rPr>
              <w:t xml:space="preserve"> The </w:t>
            </w:r>
            <w:proofErr w:type="gramStart"/>
            <w:r w:rsidR="00D22A79">
              <w:rPr>
                <w:rFonts w:ascii="Franklin Gothic Book" w:hAnsi="Franklin Gothic Book"/>
                <w:iCs/>
                <w:color w:val="404040"/>
                <w:szCs w:val="20"/>
              </w:rPr>
              <w:t xml:space="preserve">VVB </w:t>
            </w:r>
            <w:r w:rsidRPr="004473BC">
              <w:rPr>
                <w:rFonts w:ascii="Franklin Gothic Book" w:hAnsi="Franklin Gothic Book"/>
                <w:iCs/>
                <w:color w:val="404040"/>
                <w:szCs w:val="20"/>
              </w:rPr>
              <w:t xml:space="preserve"> contract</w:t>
            </w:r>
            <w:proofErr w:type="gramEnd"/>
            <w:r w:rsidRPr="004473BC">
              <w:rPr>
                <w:rFonts w:ascii="Franklin Gothic Book" w:hAnsi="Franklin Gothic Book"/>
                <w:iCs/>
                <w:color w:val="404040"/>
                <w:szCs w:val="20"/>
              </w:rPr>
              <w:t xml:space="preserve"> is already submitted to the registry</w:t>
            </w:r>
            <w:r w:rsidR="00D22A79">
              <w:rPr>
                <w:rFonts w:ascii="Franklin Gothic Book" w:hAnsi="Franklin Gothic Book"/>
                <w:iCs/>
                <w:color w:val="404040"/>
                <w:szCs w:val="20"/>
              </w:rPr>
              <w:t xml:space="preserve"> and one can see the cost of Validation and verification in there. In addition to </w:t>
            </w:r>
            <w:proofErr w:type="gramStart"/>
            <w:r w:rsidR="00D22A79">
              <w:rPr>
                <w:rFonts w:ascii="Franklin Gothic Book" w:hAnsi="Franklin Gothic Book"/>
                <w:iCs/>
                <w:color w:val="404040"/>
                <w:szCs w:val="20"/>
              </w:rPr>
              <w:t xml:space="preserve">this </w:t>
            </w:r>
            <w:r w:rsidRPr="004473BC">
              <w:rPr>
                <w:rFonts w:ascii="Franklin Gothic Book" w:hAnsi="Franklin Gothic Book"/>
                <w:iCs/>
                <w:color w:val="404040"/>
                <w:szCs w:val="20"/>
              </w:rPr>
              <w:t xml:space="preserve"> the</w:t>
            </w:r>
            <w:proofErr w:type="gramEnd"/>
            <w:r w:rsidRPr="004473BC">
              <w:rPr>
                <w:rFonts w:ascii="Franklin Gothic Book" w:hAnsi="Franklin Gothic Book"/>
                <w:iCs/>
                <w:color w:val="404040"/>
                <w:szCs w:val="20"/>
              </w:rPr>
              <w:t xml:space="preserve"> project proponent has also paid us </w:t>
            </w:r>
            <w:r w:rsidR="00D22A79">
              <w:rPr>
                <w:rFonts w:ascii="Franklin Gothic Book" w:hAnsi="Franklin Gothic Book"/>
                <w:iCs/>
                <w:color w:val="404040"/>
                <w:szCs w:val="20"/>
              </w:rPr>
              <w:t xml:space="preserve">a </w:t>
            </w:r>
            <w:r w:rsidRPr="004473BC">
              <w:rPr>
                <w:rFonts w:ascii="Franklin Gothic Book" w:hAnsi="Franklin Gothic Book"/>
                <w:iCs/>
                <w:color w:val="404040"/>
                <w:szCs w:val="20"/>
              </w:rPr>
              <w:t xml:space="preserve">consultancy fee so that we can manage their project, and </w:t>
            </w:r>
            <w:r w:rsidR="00D22A79">
              <w:rPr>
                <w:rFonts w:ascii="Franklin Gothic Book" w:hAnsi="Franklin Gothic Book"/>
                <w:iCs/>
                <w:color w:val="404040"/>
                <w:szCs w:val="20"/>
              </w:rPr>
              <w:t xml:space="preserve">this was a significant cost for the project owner. On top of </w:t>
            </w:r>
            <w:proofErr w:type="gramStart"/>
            <w:r w:rsidR="00D22A79">
              <w:rPr>
                <w:rFonts w:ascii="Franklin Gothic Book" w:hAnsi="Franklin Gothic Book"/>
                <w:iCs/>
                <w:color w:val="404040"/>
                <w:szCs w:val="20"/>
              </w:rPr>
              <w:t>those</w:t>
            </w:r>
            <w:proofErr w:type="gramEnd"/>
            <w:r w:rsidR="00D22A79">
              <w:rPr>
                <w:rFonts w:ascii="Franklin Gothic Book" w:hAnsi="Franklin Gothic Book"/>
                <w:iCs/>
                <w:color w:val="404040"/>
                <w:szCs w:val="20"/>
              </w:rPr>
              <w:t xml:space="preserve"> the issuance of the project needed </w:t>
            </w:r>
            <w:proofErr w:type="spellStart"/>
            <w:r w:rsidR="00D22A79">
              <w:rPr>
                <w:rFonts w:ascii="Franklin Gothic Book" w:hAnsi="Franklin Gothic Book"/>
                <w:iCs/>
                <w:color w:val="404040"/>
                <w:szCs w:val="20"/>
              </w:rPr>
              <w:t>futher</w:t>
            </w:r>
            <w:proofErr w:type="spellEnd"/>
            <w:r w:rsidR="00D22A79">
              <w:rPr>
                <w:rFonts w:ascii="Franklin Gothic Book" w:hAnsi="Franklin Gothic Book"/>
                <w:iCs/>
                <w:color w:val="404040"/>
                <w:szCs w:val="20"/>
              </w:rPr>
              <w:t xml:space="preserve"> payments which were not efficient to be paid unless we would find a buyer that would provide a good price that would as well cover the amount of money that was spent for the development of the VCUs. </w:t>
            </w:r>
            <w:r w:rsidRPr="004473BC">
              <w:rPr>
                <w:rFonts w:ascii="Franklin Gothic Book" w:hAnsi="Franklin Gothic Book"/>
                <w:iCs/>
                <w:color w:val="404040"/>
                <w:szCs w:val="20"/>
              </w:rPr>
              <w:t xml:space="preserve"> Yet, during the </w:t>
            </w:r>
            <w:proofErr w:type="gramStart"/>
            <w:r w:rsidRPr="004473BC">
              <w:rPr>
                <w:rFonts w:ascii="Franklin Gothic Book" w:hAnsi="Franklin Gothic Book"/>
                <w:iCs/>
                <w:color w:val="404040"/>
                <w:szCs w:val="20"/>
              </w:rPr>
              <w:t>time period</w:t>
            </w:r>
            <w:proofErr w:type="gramEnd"/>
            <w:r w:rsidRPr="004473BC">
              <w:rPr>
                <w:rFonts w:ascii="Franklin Gothic Book" w:hAnsi="Franklin Gothic Book"/>
                <w:iCs/>
                <w:color w:val="404040"/>
                <w:szCs w:val="20"/>
              </w:rPr>
              <w:t xml:space="preserve"> from 2014 when the verification was completed, until 2019 the prices </w:t>
            </w:r>
            <w:r w:rsidR="00D22A79">
              <w:rPr>
                <w:rFonts w:ascii="Franklin Gothic Book" w:hAnsi="Franklin Gothic Book"/>
                <w:iCs/>
                <w:color w:val="404040"/>
                <w:szCs w:val="20"/>
              </w:rPr>
              <w:t>of the VCUs</w:t>
            </w:r>
            <w:r w:rsidRPr="004473BC">
              <w:rPr>
                <w:rFonts w:ascii="Franklin Gothic Book" w:hAnsi="Franklin Gothic Book"/>
                <w:iCs/>
                <w:color w:val="404040"/>
                <w:szCs w:val="20"/>
              </w:rPr>
              <w:t xml:space="preserve"> even with a Social Carbon Label indicating Social and sustainable benefits of the project, were merely around 0.20 USD. Which was not enough to cover the project cost</w:t>
            </w:r>
            <w:r w:rsidR="00D22A79">
              <w:rPr>
                <w:rFonts w:ascii="Franklin Gothic Book" w:hAnsi="Franklin Gothic Book"/>
                <w:iCs/>
                <w:color w:val="404040"/>
                <w:szCs w:val="20"/>
              </w:rPr>
              <w:t>s</w:t>
            </w:r>
            <w:r w:rsidRPr="004473BC">
              <w:rPr>
                <w:rFonts w:ascii="Franklin Gothic Book" w:hAnsi="Franklin Gothic Book"/>
                <w:iCs/>
                <w:color w:val="404040"/>
                <w:szCs w:val="20"/>
              </w:rPr>
              <w:t>.</w:t>
            </w:r>
            <w:r w:rsidR="00D22A79">
              <w:rPr>
                <w:rFonts w:ascii="Franklin Gothic Book" w:hAnsi="Franklin Gothic Book"/>
                <w:iCs/>
                <w:color w:val="404040"/>
                <w:szCs w:val="20"/>
              </w:rPr>
              <w:t xml:space="preserve"> </w:t>
            </w:r>
            <w:proofErr w:type="gramStart"/>
            <w:r w:rsidR="00D22A79">
              <w:rPr>
                <w:rFonts w:ascii="Franklin Gothic Book" w:hAnsi="Franklin Gothic Book"/>
                <w:iCs/>
                <w:color w:val="404040"/>
                <w:szCs w:val="20"/>
              </w:rPr>
              <w:t>And</w:t>
            </w:r>
            <w:proofErr w:type="gramEnd"/>
            <w:r w:rsidR="00D22A79">
              <w:rPr>
                <w:rFonts w:ascii="Franklin Gothic Book" w:hAnsi="Franklin Gothic Book"/>
                <w:iCs/>
                <w:color w:val="404040"/>
                <w:szCs w:val="20"/>
              </w:rPr>
              <w:t xml:space="preserve"> the demand was very low that we were unable to find a buyer.</w:t>
            </w:r>
            <w:r w:rsidRPr="004473BC">
              <w:rPr>
                <w:rFonts w:ascii="Franklin Gothic Book" w:hAnsi="Franklin Gothic Book"/>
                <w:iCs/>
                <w:color w:val="404040"/>
                <w:szCs w:val="20"/>
              </w:rPr>
              <w:t xml:space="preserve"> </w:t>
            </w:r>
            <w:proofErr w:type="gramStart"/>
            <w:r w:rsidR="00BD323E">
              <w:rPr>
                <w:rFonts w:ascii="Franklin Gothic Book" w:hAnsi="Franklin Gothic Book"/>
                <w:iCs/>
                <w:color w:val="404040"/>
                <w:szCs w:val="20"/>
              </w:rPr>
              <w:t>So</w:t>
            </w:r>
            <w:proofErr w:type="gramEnd"/>
            <w:r w:rsidR="00BD323E">
              <w:rPr>
                <w:rFonts w:ascii="Franklin Gothic Book" w:hAnsi="Franklin Gothic Book"/>
                <w:iCs/>
                <w:color w:val="404040"/>
                <w:szCs w:val="20"/>
              </w:rPr>
              <w:t xml:space="preserve"> the project owner had to wait. </w:t>
            </w:r>
          </w:p>
          <w:p w14:paraId="39BC9DC7" w14:textId="7B32F779" w:rsidR="00D22A79" w:rsidRDefault="00DE5E9B" w:rsidP="007862B2">
            <w:pPr>
              <w:widowControl w:val="0"/>
              <w:tabs>
                <w:tab w:val="left" w:pos="2580"/>
              </w:tabs>
              <w:spacing w:before="120" w:after="120" w:line="240" w:lineRule="auto"/>
              <w:rPr>
                <w:rFonts w:ascii="Franklin Gothic Book" w:hAnsi="Franklin Gothic Book"/>
                <w:iCs/>
                <w:color w:val="404040"/>
                <w:szCs w:val="20"/>
              </w:rPr>
            </w:pPr>
            <w:r w:rsidRPr="004473BC">
              <w:rPr>
                <w:rFonts w:ascii="Franklin Gothic Book" w:hAnsi="Franklin Gothic Book"/>
                <w:iCs/>
                <w:color w:val="404040"/>
                <w:szCs w:val="20"/>
              </w:rPr>
              <w:t>Se</w:t>
            </w:r>
            <w:r w:rsidR="003B0B40" w:rsidRPr="004473BC">
              <w:rPr>
                <w:rFonts w:ascii="Franklin Gothic Book" w:hAnsi="Franklin Gothic Book"/>
                <w:iCs/>
                <w:color w:val="404040"/>
                <w:szCs w:val="20"/>
              </w:rPr>
              <w:t>e</w:t>
            </w:r>
            <w:r w:rsidRPr="004473BC">
              <w:rPr>
                <w:rFonts w:ascii="Franklin Gothic Book" w:hAnsi="Franklin Gothic Book"/>
                <w:iCs/>
                <w:color w:val="404040"/>
                <w:szCs w:val="20"/>
              </w:rPr>
              <w:t>ing the</w:t>
            </w:r>
            <w:r w:rsidR="003B0B40" w:rsidRPr="004473BC">
              <w:rPr>
                <w:rFonts w:ascii="Franklin Gothic Book" w:hAnsi="Franklin Gothic Book"/>
                <w:iCs/>
                <w:color w:val="404040"/>
                <w:szCs w:val="20"/>
              </w:rPr>
              <w:t xml:space="preserve"> hopes brought to the climate negotiations by the Paris agreement </w:t>
            </w:r>
            <w:r w:rsidR="004B5116" w:rsidRPr="004473BC">
              <w:rPr>
                <w:rFonts w:ascii="Franklin Gothic Book" w:hAnsi="Franklin Gothic Book"/>
                <w:iCs/>
                <w:color w:val="404040"/>
                <w:szCs w:val="20"/>
              </w:rPr>
              <w:t>since et 2015 the project company was positive about finding a buyer that would pay enough to cover the expenses made to obtain the carbon certificate</w:t>
            </w:r>
            <w:r w:rsidR="00BD323E">
              <w:rPr>
                <w:rFonts w:ascii="Franklin Gothic Book" w:hAnsi="Franklin Gothic Book"/>
                <w:iCs/>
                <w:color w:val="404040"/>
                <w:szCs w:val="20"/>
              </w:rPr>
              <w:t>s.  However, i</w:t>
            </w:r>
            <w:r w:rsidR="004B5116" w:rsidRPr="004473BC">
              <w:rPr>
                <w:rFonts w:ascii="Franklin Gothic Book" w:hAnsi="Franklin Gothic Book"/>
                <w:iCs/>
                <w:color w:val="404040"/>
                <w:szCs w:val="20"/>
              </w:rPr>
              <w:t xml:space="preserve">n 2016 host country being hit by the Coup </w:t>
            </w:r>
            <w:proofErr w:type="spellStart"/>
            <w:r w:rsidR="004B5116" w:rsidRPr="004473BC">
              <w:rPr>
                <w:rFonts w:ascii="Franklin Gothic Book" w:hAnsi="Franklin Gothic Book"/>
                <w:iCs/>
                <w:color w:val="404040"/>
                <w:szCs w:val="20"/>
              </w:rPr>
              <w:t>D</w:t>
            </w:r>
            <w:r w:rsidR="004473BC">
              <w:rPr>
                <w:rFonts w:ascii="Franklin Gothic Book" w:hAnsi="Franklin Gothic Book"/>
                <w:iCs/>
                <w:color w:val="404040"/>
                <w:szCs w:val="20"/>
              </w:rPr>
              <w:t>’</w:t>
            </w:r>
            <w:r w:rsidR="004B5116" w:rsidRPr="004473BC">
              <w:rPr>
                <w:rFonts w:ascii="Franklin Gothic Book" w:hAnsi="Franklin Gothic Book"/>
                <w:iCs/>
                <w:color w:val="404040"/>
                <w:szCs w:val="20"/>
              </w:rPr>
              <w:t>etat</w:t>
            </w:r>
            <w:proofErr w:type="spellEnd"/>
            <w:r w:rsidR="004B5116" w:rsidRPr="004473BC">
              <w:rPr>
                <w:rFonts w:ascii="Franklin Gothic Book" w:hAnsi="Franklin Gothic Book"/>
                <w:iCs/>
                <w:color w:val="404040"/>
                <w:szCs w:val="20"/>
              </w:rPr>
              <w:t xml:space="preserve"> attempt made things even worse. As can be seen from the attached </w:t>
            </w:r>
            <w:r w:rsidR="004473BC">
              <w:rPr>
                <w:rFonts w:ascii="Franklin Gothic Book" w:hAnsi="Franklin Gothic Book"/>
                <w:iCs/>
                <w:color w:val="404040"/>
                <w:szCs w:val="20"/>
              </w:rPr>
              <w:t>public news</w:t>
            </w:r>
            <w:r w:rsidR="004B5116" w:rsidRPr="004473BC">
              <w:rPr>
                <w:rFonts w:ascii="Franklin Gothic Book" w:hAnsi="Franklin Gothic Book"/>
                <w:iCs/>
                <w:color w:val="404040"/>
                <w:szCs w:val="20"/>
              </w:rPr>
              <w:t xml:space="preserve"> project even had hardship paying the project loan and called the financer</w:t>
            </w:r>
            <w:r w:rsidR="004473BC">
              <w:rPr>
                <w:rFonts w:ascii="Franklin Gothic Book" w:hAnsi="Franklin Gothic Book"/>
                <w:iCs/>
                <w:color w:val="404040"/>
                <w:szCs w:val="20"/>
              </w:rPr>
              <w:t>s</w:t>
            </w:r>
            <w:r w:rsidR="004B5116" w:rsidRPr="004473BC">
              <w:rPr>
                <w:rFonts w:ascii="Franklin Gothic Book" w:hAnsi="Franklin Gothic Book"/>
                <w:iCs/>
                <w:color w:val="404040"/>
                <w:szCs w:val="20"/>
              </w:rPr>
              <w:t xml:space="preserve"> to the table </w:t>
            </w:r>
            <w:r w:rsidR="00D22A79">
              <w:rPr>
                <w:rFonts w:ascii="Franklin Gothic Book" w:hAnsi="Franklin Gothic Book"/>
                <w:iCs/>
                <w:color w:val="404040"/>
                <w:szCs w:val="20"/>
              </w:rPr>
              <w:t xml:space="preserve">in 2017, </w:t>
            </w:r>
            <w:r w:rsidR="004B5116" w:rsidRPr="004473BC">
              <w:rPr>
                <w:rFonts w:ascii="Franklin Gothic Book" w:hAnsi="Franklin Gothic Book"/>
                <w:iCs/>
                <w:color w:val="404040"/>
                <w:szCs w:val="20"/>
              </w:rPr>
              <w:t xml:space="preserve">to restructure the debt. </w:t>
            </w:r>
            <w:r w:rsidR="004473BC">
              <w:rPr>
                <w:rFonts w:ascii="Franklin Gothic Book" w:hAnsi="Franklin Gothic Book"/>
                <w:iCs/>
                <w:color w:val="404040"/>
                <w:szCs w:val="20"/>
              </w:rPr>
              <w:t xml:space="preserve">This is not only due to increased TL/USD exchange rate but also due to the drought the country is facing since the last decade. The production numbers have fallen under the value expected and sited in the validated PDD. The decline in production numbers </w:t>
            </w:r>
            <w:r w:rsidR="00D22A79">
              <w:rPr>
                <w:rFonts w:ascii="Franklin Gothic Book" w:hAnsi="Franklin Gothic Book"/>
                <w:iCs/>
                <w:color w:val="404040"/>
                <w:szCs w:val="20"/>
              </w:rPr>
              <w:t>were</w:t>
            </w:r>
            <w:r w:rsidR="004473BC">
              <w:rPr>
                <w:rFonts w:ascii="Franklin Gothic Book" w:hAnsi="Franklin Gothic Book"/>
                <w:iCs/>
                <w:color w:val="404040"/>
                <w:szCs w:val="20"/>
              </w:rPr>
              <w:t xml:space="preserve"> in average 52% over the period of 2013 to 2019 and the project IRR and the Equity IRR have dropped to</w:t>
            </w:r>
            <w:r w:rsidR="00BD323E">
              <w:rPr>
                <w:rFonts w:ascii="Franklin Gothic Book" w:hAnsi="Franklin Gothic Book"/>
                <w:iCs/>
                <w:color w:val="404040"/>
                <w:szCs w:val="20"/>
              </w:rPr>
              <w:t xml:space="preserve"> 2.3 % and to 0.60% respectively</w:t>
            </w:r>
            <w:r w:rsidR="004473BC">
              <w:rPr>
                <w:rFonts w:ascii="Franklin Gothic Book" w:hAnsi="Franklin Gothic Book"/>
                <w:iCs/>
                <w:color w:val="404040"/>
                <w:szCs w:val="20"/>
              </w:rPr>
              <w:t>. Taking into consideration that these numbers are way below the conservatively determined benchmark of 12.75%</w:t>
            </w:r>
            <w:r w:rsidR="00D22A79">
              <w:rPr>
                <w:rFonts w:ascii="Franklin Gothic Book" w:hAnsi="Franklin Gothic Book"/>
                <w:iCs/>
                <w:color w:val="404040"/>
                <w:szCs w:val="20"/>
              </w:rPr>
              <w:t xml:space="preserve">, </w:t>
            </w:r>
            <w:r w:rsidR="00BD323E">
              <w:rPr>
                <w:rFonts w:ascii="Franklin Gothic Book" w:hAnsi="Franklin Gothic Book"/>
                <w:iCs/>
                <w:color w:val="404040"/>
                <w:szCs w:val="20"/>
              </w:rPr>
              <w:t>the need for the carbon money is obvious and these numbers are</w:t>
            </w:r>
            <w:r w:rsidR="00D22A79">
              <w:rPr>
                <w:rFonts w:ascii="Franklin Gothic Book" w:hAnsi="Franklin Gothic Book"/>
                <w:iCs/>
                <w:color w:val="404040"/>
                <w:szCs w:val="20"/>
              </w:rPr>
              <w:t xml:space="preserve"> re affirming the additionality and the need for </w:t>
            </w:r>
            <w:r w:rsidR="00BD323E">
              <w:rPr>
                <w:rFonts w:ascii="Franklin Gothic Book" w:hAnsi="Franklin Gothic Book"/>
                <w:iCs/>
                <w:color w:val="404040"/>
                <w:szCs w:val="20"/>
              </w:rPr>
              <w:t>the c</w:t>
            </w:r>
            <w:r w:rsidR="00D22A79">
              <w:rPr>
                <w:rFonts w:ascii="Franklin Gothic Book" w:hAnsi="Franklin Gothic Book"/>
                <w:iCs/>
                <w:color w:val="404040"/>
                <w:szCs w:val="20"/>
              </w:rPr>
              <w:t xml:space="preserve">arbon money. </w:t>
            </w:r>
          </w:p>
          <w:p w14:paraId="70ADBA75" w14:textId="60D72BEA" w:rsidR="00DE5E9B" w:rsidRDefault="004473BC" w:rsidP="007862B2">
            <w:pPr>
              <w:widowControl w:val="0"/>
              <w:tabs>
                <w:tab w:val="left" w:pos="2580"/>
              </w:tabs>
              <w:spacing w:before="120" w:after="120" w:line="240" w:lineRule="auto"/>
              <w:rPr>
                <w:rFonts w:ascii="Franklin Gothic Book" w:hAnsi="Franklin Gothic Book"/>
                <w:iCs/>
                <w:color w:val="404040"/>
                <w:szCs w:val="20"/>
              </w:rPr>
            </w:pPr>
            <w:r>
              <w:rPr>
                <w:rFonts w:ascii="Franklin Gothic Book" w:hAnsi="Franklin Gothic Book"/>
                <w:iCs/>
                <w:color w:val="404040"/>
                <w:szCs w:val="20"/>
              </w:rPr>
              <w:lastRenderedPageBreak/>
              <w:t>The following articles depict the hardship Turkish Renewable energy Industry is facing and the name of the project in discussion is clearly sited among the companies asking restructuring of the loans:</w:t>
            </w:r>
          </w:p>
          <w:p w14:paraId="216208FF" w14:textId="00166A37" w:rsidR="004473BC" w:rsidRDefault="00D616D1" w:rsidP="004473BC">
            <w:pPr>
              <w:shd w:val="clear" w:color="auto" w:fill="FFFFFF"/>
              <w:rPr>
                <w:rFonts w:ascii="Calibri" w:hAnsi="Calibri" w:cs="Calibri"/>
                <w:color w:val="333333"/>
                <w:sz w:val="22"/>
                <w:szCs w:val="22"/>
              </w:rPr>
            </w:pPr>
            <w:hyperlink r:id="rId10" w:history="1">
              <w:r w:rsidR="006F0B3B" w:rsidRPr="00A06DE3">
                <w:rPr>
                  <w:rStyle w:val="Hyperlink"/>
                  <w:rFonts w:ascii="Calibri" w:hAnsi="Calibri" w:cs="Calibri"/>
                  <w:sz w:val="22"/>
                  <w:szCs w:val="22"/>
                </w:rPr>
                <w:t>https://www.bloomberg.com/news/articles/2017-03-09/turkish-energy-producers-said-to-consider-refinancing-loans</w:t>
              </w:r>
            </w:hyperlink>
          </w:p>
          <w:p w14:paraId="17706360" w14:textId="4BA42F10" w:rsidR="007862B2" w:rsidRPr="006F0B3B" w:rsidRDefault="00D616D1" w:rsidP="006F0B3B">
            <w:pPr>
              <w:shd w:val="clear" w:color="auto" w:fill="FFFFFF"/>
              <w:rPr>
                <w:rFonts w:ascii="Calibri" w:hAnsi="Calibri" w:cs="Calibri"/>
                <w:color w:val="333333"/>
                <w:sz w:val="22"/>
                <w:szCs w:val="22"/>
              </w:rPr>
            </w:pPr>
            <w:hyperlink r:id="rId11" w:history="1">
              <w:r w:rsidR="006F0B3B" w:rsidRPr="00A06DE3">
                <w:rPr>
                  <w:rStyle w:val="Hyperlink"/>
                  <w:rFonts w:ascii="Calibri" w:hAnsi="Calibri" w:cs="Calibri"/>
                  <w:sz w:val="22"/>
                  <w:szCs w:val="22"/>
                </w:rPr>
                <w:t>https://www.bloombergquint.com/technology/turkish-energy-producers-said-to-consider-refinancing-loans</w:t>
              </w:r>
            </w:hyperlink>
            <w:r w:rsidR="006F0B3B">
              <w:rPr>
                <w:rFonts w:ascii="Calibri" w:hAnsi="Calibri" w:cs="Calibri"/>
                <w:color w:val="333333"/>
                <w:sz w:val="22"/>
                <w:szCs w:val="22"/>
              </w:rPr>
              <w:t xml:space="preserve"> </w:t>
            </w:r>
            <w:r w:rsidR="004473BC">
              <w:rPr>
                <w:rFonts w:ascii="Calibri" w:hAnsi="Calibri" w:cs="Calibri"/>
                <w:color w:val="333333"/>
                <w:sz w:val="22"/>
                <w:szCs w:val="22"/>
              </w:rPr>
              <w:t xml:space="preserve">Please also use the following link to access to the validated Financial Analysis and </w:t>
            </w:r>
            <w:proofErr w:type="spellStart"/>
            <w:proofErr w:type="gramStart"/>
            <w:r w:rsidR="004473BC">
              <w:rPr>
                <w:rFonts w:ascii="Calibri" w:hAnsi="Calibri" w:cs="Calibri"/>
                <w:color w:val="333333"/>
                <w:sz w:val="22"/>
                <w:szCs w:val="22"/>
              </w:rPr>
              <w:t>an</w:t>
            </w:r>
            <w:r w:rsidR="006F0B3B">
              <w:rPr>
                <w:rFonts w:ascii="Calibri" w:hAnsi="Calibri" w:cs="Calibri"/>
                <w:color w:val="333333"/>
                <w:sz w:val="22"/>
                <w:szCs w:val="22"/>
              </w:rPr>
              <w:t xml:space="preserve"> </w:t>
            </w:r>
            <w:r w:rsidR="004473BC">
              <w:rPr>
                <w:rFonts w:ascii="Calibri" w:hAnsi="Calibri" w:cs="Calibri"/>
                <w:color w:val="333333"/>
                <w:sz w:val="22"/>
                <w:szCs w:val="22"/>
              </w:rPr>
              <w:t>other</w:t>
            </w:r>
            <w:proofErr w:type="spellEnd"/>
            <w:proofErr w:type="gramEnd"/>
            <w:r w:rsidR="004473BC">
              <w:rPr>
                <w:rFonts w:ascii="Calibri" w:hAnsi="Calibri" w:cs="Calibri"/>
                <w:color w:val="333333"/>
                <w:sz w:val="22"/>
                <w:szCs w:val="22"/>
              </w:rPr>
              <w:t xml:space="preserve"> version of it that we have used to show the decrease in IRR. </w:t>
            </w:r>
            <w:r w:rsidR="006F0B3B">
              <w:rPr>
                <w:rFonts w:ascii="Calibri" w:hAnsi="Calibri" w:cs="Calibri"/>
                <w:color w:val="333333"/>
                <w:sz w:val="22"/>
                <w:szCs w:val="22"/>
              </w:rPr>
              <w:t xml:space="preserve"> </w:t>
            </w:r>
            <w:hyperlink r:id="rId12" w:history="1">
              <w:r w:rsidR="006F0B3B" w:rsidRPr="00A06DE3">
                <w:rPr>
                  <w:rStyle w:val="Hyperlink"/>
                  <w:rFonts w:ascii="Franklin Gothic Book" w:hAnsi="Franklin Gothic Book"/>
                  <w:iCs/>
                  <w:szCs w:val="20"/>
                </w:rPr>
                <w:t>https://app.box.com/s/a6svofqzlxaxh8n8bo8ug4i3x3bg0ard</w:t>
              </w:r>
            </w:hyperlink>
            <w:r w:rsidR="006F0B3B">
              <w:rPr>
                <w:rFonts w:ascii="Franklin Gothic Book" w:hAnsi="Franklin Gothic Book"/>
                <w:iCs/>
                <w:color w:val="404040"/>
                <w:szCs w:val="20"/>
              </w:rPr>
              <w:t xml:space="preserve"> </w:t>
            </w:r>
            <w:r w:rsidR="006F0B3B" w:rsidRPr="006F0B3B">
              <w:rPr>
                <w:rFonts w:ascii="Franklin Gothic Book" w:hAnsi="Franklin Gothic Book"/>
                <w:iCs/>
                <w:color w:val="404040"/>
                <w:szCs w:val="20"/>
              </w:rPr>
              <w:t xml:space="preserve">As such the project is in hardship and </w:t>
            </w:r>
            <w:r w:rsidR="006F0B3B">
              <w:rPr>
                <w:rFonts w:ascii="Franklin Gothic Book" w:hAnsi="Franklin Gothic Book"/>
                <w:iCs/>
                <w:color w:val="404040"/>
                <w:szCs w:val="20"/>
              </w:rPr>
              <w:t xml:space="preserve">desperately </w:t>
            </w:r>
            <w:r w:rsidR="006F0B3B" w:rsidRPr="006F0B3B">
              <w:rPr>
                <w:rFonts w:ascii="Franklin Gothic Book" w:hAnsi="Franklin Gothic Book"/>
                <w:iCs/>
                <w:color w:val="404040"/>
                <w:szCs w:val="20"/>
              </w:rPr>
              <w:t xml:space="preserve">needs any </w:t>
            </w:r>
            <w:r w:rsidR="00BD323E">
              <w:rPr>
                <w:rFonts w:ascii="Franklin Gothic Book" w:hAnsi="Franklin Gothic Book"/>
                <w:iCs/>
                <w:color w:val="404040"/>
                <w:szCs w:val="20"/>
              </w:rPr>
              <w:t>extra value</w:t>
            </w:r>
            <w:r w:rsidR="006F0B3B" w:rsidRPr="006F0B3B">
              <w:rPr>
                <w:rFonts w:ascii="Franklin Gothic Book" w:hAnsi="Franklin Gothic Book"/>
                <w:iCs/>
                <w:color w:val="404040"/>
                <w:szCs w:val="20"/>
              </w:rPr>
              <w:t xml:space="preserve"> it can raise via Carbon finance.</w:t>
            </w:r>
            <w:r w:rsidR="006F0B3B">
              <w:rPr>
                <w:rFonts w:ascii="Franklin Gothic Book" w:hAnsi="Franklin Gothic Book"/>
                <w:b/>
                <w:bCs/>
                <w:iCs/>
                <w:color w:val="404040"/>
                <w:szCs w:val="20"/>
              </w:rPr>
              <w:t xml:space="preserve"> </w:t>
            </w:r>
          </w:p>
        </w:tc>
      </w:tr>
      <w:tr w:rsidR="006F0B3B" w:rsidRPr="00E712AF" w14:paraId="3BAF621C" w14:textId="77777777" w:rsidTr="00620C29">
        <w:tc>
          <w:tcPr>
            <w:tcW w:w="8882" w:type="dxa"/>
            <w:tcBorders>
              <w:top w:val="single" w:sz="4" w:space="0" w:color="FFFFFF" w:themeColor="background1"/>
              <w:bottom w:val="single" w:sz="4" w:space="0" w:color="FFFFFF" w:themeColor="background1"/>
            </w:tcBorders>
            <w:shd w:val="clear" w:color="auto" w:fill="F2F2F2"/>
          </w:tcPr>
          <w:p w14:paraId="4FE8D64E" w14:textId="77777777" w:rsidR="006F0B3B" w:rsidRDefault="00D455B8" w:rsidP="007862B2">
            <w:pPr>
              <w:widowControl w:val="0"/>
              <w:tabs>
                <w:tab w:val="left" w:pos="2580"/>
              </w:tabs>
              <w:spacing w:before="120" w:after="120"/>
              <w:jc w:val="both"/>
              <w:rPr>
                <w:b/>
                <w:bCs/>
                <w:iCs/>
                <w:color w:val="404040"/>
              </w:rPr>
            </w:pPr>
            <w:r>
              <w:rPr>
                <w:b/>
                <w:bCs/>
                <w:iCs/>
                <w:color w:val="404040"/>
              </w:rPr>
              <w:lastRenderedPageBreak/>
              <w:t>Verra Response:</w:t>
            </w:r>
          </w:p>
          <w:p w14:paraId="238836EA" w14:textId="15938A73" w:rsidR="00D455B8" w:rsidRPr="00D455B8" w:rsidRDefault="00D455B8" w:rsidP="007862B2">
            <w:pPr>
              <w:widowControl w:val="0"/>
              <w:tabs>
                <w:tab w:val="left" w:pos="2580"/>
              </w:tabs>
              <w:spacing w:before="120" w:after="120"/>
              <w:jc w:val="both"/>
              <w:rPr>
                <w:bCs/>
                <w:iCs/>
                <w:color w:val="404040"/>
              </w:rPr>
            </w:pPr>
            <w:r>
              <w:rPr>
                <w:bCs/>
                <w:iCs/>
                <w:color w:val="404040"/>
              </w:rPr>
              <w:t xml:space="preserve">Upon review of the project description, the updates provided </w:t>
            </w:r>
            <w:proofErr w:type="gramStart"/>
            <w:r>
              <w:rPr>
                <w:bCs/>
                <w:iCs/>
                <w:color w:val="404040"/>
              </w:rPr>
              <w:t>were deemed</w:t>
            </w:r>
            <w:proofErr w:type="gramEnd"/>
            <w:r>
              <w:rPr>
                <w:bCs/>
                <w:iCs/>
                <w:color w:val="404040"/>
              </w:rPr>
              <w:t xml:space="preserve"> sufficient to close this finding. No further response is required.</w:t>
            </w:r>
          </w:p>
        </w:tc>
      </w:tr>
    </w:tbl>
    <w:p w14:paraId="337FFA2B" w14:textId="386AAEB7" w:rsidR="00C62FD1" w:rsidRDefault="00C62FD1" w:rsidP="00F85110"/>
    <w:p w14:paraId="0E6ED713" w14:textId="330506A0" w:rsidR="00554CA9" w:rsidRPr="00554CA9" w:rsidRDefault="00EC1896" w:rsidP="0046282B">
      <w:pPr>
        <w:pStyle w:val="Heading1"/>
        <w:numPr>
          <w:ilvl w:val="0"/>
          <w:numId w:val="3"/>
        </w:numPr>
        <w:rPr>
          <w:b w:val="0"/>
          <w:bCs w:val="0"/>
          <w:color w:val="057299"/>
        </w:rPr>
      </w:pPr>
      <w:r w:rsidRPr="00554CA9">
        <w:rPr>
          <w:b w:val="0"/>
          <w:bCs w:val="0"/>
          <w:color w:val="057299"/>
        </w:rPr>
        <w:t>MI</w:t>
      </w:r>
      <w:r w:rsidR="00C62FD1" w:rsidRPr="00554CA9">
        <w:rPr>
          <w:b w:val="0"/>
          <w:bCs w:val="0"/>
          <w:color w:val="057299"/>
        </w:rPr>
        <w:t>nor F</w:t>
      </w:r>
      <w:r w:rsidR="00605FE0" w:rsidRPr="00554CA9">
        <w:rPr>
          <w:b w:val="0"/>
          <w:bCs w:val="0"/>
          <w:color w:val="057299"/>
        </w:rPr>
        <w:t>indings</w:t>
      </w:r>
      <w:r w:rsidR="00C62FD1" w:rsidRPr="00554CA9">
        <w:rPr>
          <w:b w:val="0"/>
          <w:bCs w:val="0"/>
          <w:color w:val="057299"/>
        </w:rPr>
        <w:t xml:space="preserve"> </w:t>
      </w:r>
    </w:p>
    <w:p w14:paraId="2DB1BD7E" w14:textId="29D140A8" w:rsidR="00EC1896" w:rsidRPr="007862B2" w:rsidRDefault="007862B2" w:rsidP="007862B2">
      <w:pPr>
        <w:ind w:left="360"/>
        <w:rPr>
          <w:rFonts w:ascii="Franklin Gothic Book" w:hAnsi="Franklin Gothic Book"/>
          <w:sz w:val="21"/>
          <w:szCs w:val="21"/>
          <w:lang w:val="en-CA"/>
        </w:rPr>
      </w:pPr>
      <w:r w:rsidRPr="007862B2">
        <w:rPr>
          <w:rFonts w:ascii="Franklin Gothic Book" w:hAnsi="Franklin Gothic Book"/>
          <w:sz w:val="21"/>
          <w:szCs w:val="21"/>
          <w:lang w:val="en-CA"/>
        </w:rPr>
        <w:t>There were no minor findings raised in this report.</w:t>
      </w:r>
    </w:p>
    <w:p w14:paraId="0C840266" w14:textId="5C0A285A" w:rsidR="00DF5DBF" w:rsidRPr="00554CA9" w:rsidRDefault="00605FE0" w:rsidP="0046282B">
      <w:pPr>
        <w:pStyle w:val="Heading1"/>
        <w:numPr>
          <w:ilvl w:val="0"/>
          <w:numId w:val="3"/>
        </w:numPr>
        <w:rPr>
          <w:rStyle w:val="SubtleEmphasis"/>
          <w:b w:val="0"/>
          <w:bCs w:val="0"/>
          <w:i w:val="0"/>
          <w:iCs w:val="0"/>
          <w:color w:val="057299"/>
        </w:rPr>
      </w:pPr>
      <w:r w:rsidRPr="00554CA9">
        <w:rPr>
          <w:rStyle w:val="SubtleEmphasis"/>
          <w:b w:val="0"/>
          <w:bCs w:val="0"/>
          <w:i w:val="0"/>
          <w:iCs w:val="0"/>
          <w:color w:val="057299"/>
        </w:rPr>
        <w:t>Assessment C</w:t>
      </w:r>
      <w:r w:rsidR="005F6342" w:rsidRPr="00554CA9">
        <w:rPr>
          <w:rStyle w:val="SubtleEmphasis"/>
          <w:b w:val="0"/>
          <w:bCs w:val="0"/>
          <w:i w:val="0"/>
          <w:iCs w:val="0"/>
          <w:color w:val="057299"/>
        </w:rPr>
        <w:t>onclusion</w:t>
      </w:r>
    </w:p>
    <w:p w14:paraId="57285AEA" w14:textId="3BA6D5EE" w:rsidR="007D7C85" w:rsidRDefault="007862B2" w:rsidP="00561465">
      <w:pPr>
        <w:widowControl w:val="0"/>
        <w:ind w:left="360"/>
        <w:rPr>
          <w:rFonts w:ascii="Franklin Gothic Book" w:hAnsi="Franklin Gothic Book"/>
          <w:sz w:val="21"/>
          <w:szCs w:val="21"/>
        </w:rPr>
      </w:pPr>
      <w:r w:rsidRPr="007862B2">
        <w:rPr>
          <w:rFonts w:ascii="Franklin Gothic Book" w:hAnsi="Franklin Gothic Book"/>
          <w:sz w:val="21"/>
          <w:szCs w:val="21"/>
        </w:rPr>
        <w:t xml:space="preserve">On </w:t>
      </w:r>
      <w:r w:rsidR="00C93006">
        <w:rPr>
          <w:rFonts w:ascii="Franklin Gothic Book" w:hAnsi="Franklin Gothic Book"/>
          <w:sz w:val="21"/>
          <w:szCs w:val="21"/>
        </w:rPr>
        <w:t>11</w:t>
      </w:r>
      <w:r w:rsidR="00561465">
        <w:rPr>
          <w:rFonts w:ascii="Franklin Gothic Book" w:hAnsi="Franklin Gothic Book"/>
          <w:sz w:val="21"/>
          <w:szCs w:val="21"/>
        </w:rPr>
        <w:t xml:space="preserve"> December</w:t>
      </w:r>
      <w:r w:rsidRPr="007862B2">
        <w:rPr>
          <w:rFonts w:ascii="Franklin Gothic Book" w:hAnsi="Franklin Gothic Book"/>
          <w:sz w:val="21"/>
          <w:szCs w:val="21"/>
        </w:rPr>
        <w:t xml:space="preserve"> 2020, Verra conducted an accuracy review of the </w:t>
      </w:r>
      <w:proofErr w:type="spellStart"/>
      <w:r w:rsidR="00926736" w:rsidRPr="00926736">
        <w:rPr>
          <w:rFonts w:ascii="Franklin Gothic Book" w:hAnsi="Franklin Gothic Book" w:cs="Arial"/>
          <w:i/>
          <w:sz w:val="21"/>
          <w:szCs w:val="21"/>
          <w:lang w:val="en-US"/>
        </w:rPr>
        <w:t>Boyabat</w:t>
      </w:r>
      <w:proofErr w:type="spellEnd"/>
      <w:r w:rsidR="00926736" w:rsidRPr="00926736">
        <w:rPr>
          <w:rFonts w:ascii="Franklin Gothic Book" w:hAnsi="Franklin Gothic Book" w:cs="Arial"/>
          <w:i/>
          <w:sz w:val="21"/>
          <w:szCs w:val="21"/>
          <w:lang w:val="en-US"/>
        </w:rPr>
        <w:t xml:space="preserve"> Hydroelectric Power Plant</w:t>
      </w:r>
      <w:r w:rsidRPr="007862B2">
        <w:rPr>
          <w:rFonts w:ascii="Franklin Gothic Book" w:hAnsi="Franklin Gothic Book" w:cs="Arial"/>
          <w:i/>
          <w:sz w:val="21"/>
          <w:szCs w:val="21"/>
          <w:lang w:val="en-US"/>
        </w:rPr>
        <w:t xml:space="preserve">, </w:t>
      </w:r>
      <w:r w:rsidRPr="007862B2">
        <w:rPr>
          <w:rFonts w:ascii="Franklin Gothic Book" w:hAnsi="Franklin Gothic Book"/>
          <w:sz w:val="21"/>
          <w:szCs w:val="21"/>
        </w:rPr>
        <w:t xml:space="preserve">the results of which </w:t>
      </w:r>
      <w:proofErr w:type="gramStart"/>
      <w:r w:rsidRPr="007862B2">
        <w:rPr>
          <w:rFonts w:ascii="Franklin Gothic Book" w:hAnsi="Franklin Gothic Book"/>
          <w:sz w:val="21"/>
          <w:szCs w:val="21"/>
        </w:rPr>
        <w:t>can be found</w:t>
      </w:r>
      <w:proofErr w:type="gramEnd"/>
      <w:r w:rsidRPr="007862B2">
        <w:rPr>
          <w:rFonts w:ascii="Franklin Gothic Book" w:hAnsi="Franklin Gothic Book"/>
          <w:sz w:val="21"/>
          <w:szCs w:val="21"/>
        </w:rPr>
        <w:t xml:space="preserve"> above.</w:t>
      </w:r>
    </w:p>
    <w:p w14:paraId="0A69E621" w14:textId="200A17C9" w:rsidR="00F736A1" w:rsidRPr="00561465" w:rsidRDefault="00F736A1" w:rsidP="00561465">
      <w:pPr>
        <w:widowControl w:val="0"/>
        <w:ind w:left="360"/>
        <w:rPr>
          <w:rFonts w:ascii="Franklin Gothic Book" w:hAnsi="Franklin Gothic Book"/>
          <w:sz w:val="21"/>
          <w:szCs w:val="21"/>
        </w:rPr>
      </w:pPr>
      <w:r>
        <w:rPr>
          <w:rFonts w:ascii="Franklin Gothic Book" w:hAnsi="Franklin Gothic Book"/>
          <w:sz w:val="21"/>
          <w:szCs w:val="21"/>
        </w:rPr>
        <w:t>On 28 January 2021, Verra reviewed the consultants responses to the finding raised and deemed it sufficient to close the finding. This review process</w:t>
      </w:r>
      <w:bookmarkStart w:id="0" w:name="_GoBack"/>
      <w:bookmarkEnd w:id="0"/>
      <w:r>
        <w:rPr>
          <w:rFonts w:ascii="Franklin Gothic Book" w:hAnsi="Franklin Gothic Book"/>
          <w:sz w:val="21"/>
          <w:szCs w:val="21"/>
        </w:rPr>
        <w:t xml:space="preserve"> is now closed. </w:t>
      </w:r>
    </w:p>
    <w:sectPr w:rsidR="00F736A1" w:rsidRPr="00561465" w:rsidSect="000D77C6">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3D826" w14:textId="77777777" w:rsidR="00D616D1" w:rsidRDefault="00D616D1">
      <w:r>
        <w:separator/>
      </w:r>
    </w:p>
  </w:endnote>
  <w:endnote w:type="continuationSeparator" w:id="0">
    <w:p w14:paraId="347DD78C" w14:textId="77777777" w:rsidR="00D616D1" w:rsidRDefault="00D6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4B82" w14:textId="77777777" w:rsidR="004C4073" w:rsidRDefault="00E46941">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64BD7D49"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9C76" w14:textId="77777777" w:rsidR="004C4073" w:rsidRDefault="004C4073" w:rsidP="004F592D">
    <w:pPr>
      <w:pStyle w:val="Footer"/>
      <w:spacing w:after="0"/>
    </w:pPr>
  </w:p>
  <w:p w14:paraId="54F22A4A" w14:textId="69B305BB" w:rsidR="004C4073" w:rsidRPr="00E712AF" w:rsidRDefault="00E46941" w:rsidP="00DF7193">
    <w:pPr>
      <w:pStyle w:val="Header"/>
      <w:framePr w:w="321" w:h="301" w:hRule="exact" w:wrap="around" w:vAnchor="text" w:hAnchor="page" w:x="10456" w:y="173"/>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004C4073"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F736A1">
      <w:rPr>
        <w:rStyle w:val="PageNumber"/>
        <w:rFonts w:ascii="Century Gothic" w:hAnsi="Century Gothic" w:cs="Arial"/>
        <w:noProof/>
        <w:color w:val="262626"/>
        <w:spacing w:val="2"/>
        <w:sz w:val="21"/>
        <w:szCs w:val="21"/>
      </w:rPr>
      <w:t>3</w:t>
    </w:r>
    <w:r w:rsidRPr="00E712AF">
      <w:rPr>
        <w:rStyle w:val="PageNumber"/>
        <w:rFonts w:ascii="Century Gothic" w:hAnsi="Century Gothic" w:cs="Arial"/>
        <w:color w:val="262626"/>
        <w:spacing w:val="2"/>
        <w:sz w:val="21"/>
        <w:szCs w:val="21"/>
      </w:rPr>
      <w:fldChar w:fldCharType="end"/>
    </w:r>
  </w:p>
  <w:p w14:paraId="694D4766" w14:textId="3B493FEB"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54B9112F" w14:textId="646490B5"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4.0</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1C38" w14:textId="77777777" w:rsidR="00D616D1" w:rsidRDefault="00D616D1">
      <w:r>
        <w:separator/>
      </w:r>
    </w:p>
  </w:footnote>
  <w:footnote w:type="continuationSeparator" w:id="0">
    <w:p w14:paraId="6860C579" w14:textId="77777777" w:rsidR="00D616D1" w:rsidRDefault="00D616D1">
      <w:r>
        <w:continuationSeparator/>
      </w:r>
    </w:p>
  </w:footnote>
  <w:footnote w:id="1">
    <w:p w14:paraId="24E3F593" w14:textId="603ACDBD" w:rsidR="006F0B3B" w:rsidRPr="006F0B3B" w:rsidRDefault="006F0B3B">
      <w:pPr>
        <w:pStyle w:val="FootnoteText"/>
        <w:rPr>
          <w:sz w:val="16"/>
          <w:szCs w:val="16"/>
          <w:lang w:val="tr-TR"/>
        </w:rPr>
      </w:pPr>
      <w:r w:rsidRPr="006F0B3B">
        <w:rPr>
          <w:rStyle w:val="FootnoteReference"/>
          <w:sz w:val="16"/>
          <w:szCs w:val="16"/>
        </w:rPr>
        <w:footnoteRef/>
      </w:r>
      <w:r w:rsidRPr="006F0B3B">
        <w:rPr>
          <w:sz w:val="16"/>
          <w:szCs w:val="16"/>
        </w:rPr>
        <w:t xml:space="preserve"> </w:t>
      </w:r>
      <w:r w:rsidRPr="006F0B3B">
        <w:rPr>
          <w:sz w:val="16"/>
          <w:szCs w:val="16"/>
          <w:lang w:val="tr-TR"/>
        </w:rPr>
        <w:t>Please note that the Validation/Verification Body (VVB)</w:t>
      </w:r>
      <w:r>
        <w:rPr>
          <w:sz w:val="16"/>
          <w:szCs w:val="16"/>
          <w:lang w:val="tr-TR"/>
        </w:rPr>
        <w:t xml:space="preserve">”TÜV Rheinland” </w:t>
      </w:r>
      <w:r w:rsidRPr="006F0B3B">
        <w:rPr>
          <w:sz w:val="16"/>
          <w:szCs w:val="16"/>
          <w:lang w:val="tr-TR"/>
        </w:rPr>
        <w:t>is no longer active and we are</w:t>
      </w:r>
      <w:r>
        <w:rPr>
          <w:sz w:val="16"/>
          <w:szCs w:val="16"/>
          <w:lang w:val="tr-TR"/>
        </w:rPr>
        <w:t xml:space="preserve"> (Ekobil Ltd on behalf of PP) </w:t>
      </w:r>
      <w:r w:rsidRPr="006F0B3B">
        <w:rPr>
          <w:sz w:val="16"/>
          <w:szCs w:val="16"/>
          <w:lang w:val="tr-TR"/>
        </w:rPr>
        <w:t xml:space="preserve"> answering the question as the PDD Developer and consultancy provider fort he MRV stage.</w:t>
      </w:r>
      <w:r>
        <w:rPr>
          <w:sz w:val="16"/>
          <w:szCs w:val="16"/>
          <w:lang w:val="tr-T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1CC0" w14:textId="6F460E47" w:rsidR="004C4073" w:rsidRPr="00DF7193" w:rsidRDefault="00286ADB" w:rsidP="002D67FB">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61312"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392D"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A6F80"/>
    <w:multiLevelType w:val="hybridMultilevel"/>
    <w:tmpl w:val="BEF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14"/>
    <w:rsid w:val="00000D39"/>
    <w:rsid w:val="0000591E"/>
    <w:rsid w:val="00005987"/>
    <w:rsid w:val="00014C5E"/>
    <w:rsid w:val="00014E3B"/>
    <w:rsid w:val="00016D6A"/>
    <w:rsid w:val="000176CD"/>
    <w:rsid w:val="000227EA"/>
    <w:rsid w:val="00037F40"/>
    <w:rsid w:val="0004420F"/>
    <w:rsid w:val="00050CF3"/>
    <w:rsid w:val="00052CF4"/>
    <w:rsid w:val="00053360"/>
    <w:rsid w:val="00053E2C"/>
    <w:rsid w:val="00062D94"/>
    <w:rsid w:val="00064A9E"/>
    <w:rsid w:val="000703A0"/>
    <w:rsid w:val="00075159"/>
    <w:rsid w:val="00077679"/>
    <w:rsid w:val="00082C9A"/>
    <w:rsid w:val="000844F4"/>
    <w:rsid w:val="00090E13"/>
    <w:rsid w:val="000956DF"/>
    <w:rsid w:val="000A042E"/>
    <w:rsid w:val="000A0A58"/>
    <w:rsid w:val="000A3F20"/>
    <w:rsid w:val="000A4CCA"/>
    <w:rsid w:val="000B3B04"/>
    <w:rsid w:val="000B74CA"/>
    <w:rsid w:val="000B756F"/>
    <w:rsid w:val="000C0398"/>
    <w:rsid w:val="000D77C6"/>
    <w:rsid w:val="000E1AEE"/>
    <w:rsid w:val="000F7DF0"/>
    <w:rsid w:val="00102943"/>
    <w:rsid w:val="00106DBB"/>
    <w:rsid w:val="001122D7"/>
    <w:rsid w:val="00112B40"/>
    <w:rsid w:val="0011357F"/>
    <w:rsid w:val="001148D5"/>
    <w:rsid w:val="001170BF"/>
    <w:rsid w:val="00123DE8"/>
    <w:rsid w:val="00127751"/>
    <w:rsid w:val="00127A89"/>
    <w:rsid w:val="001325E5"/>
    <w:rsid w:val="00132702"/>
    <w:rsid w:val="00133C46"/>
    <w:rsid w:val="00133F41"/>
    <w:rsid w:val="00135321"/>
    <w:rsid w:val="00136F77"/>
    <w:rsid w:val="0013789E"/>
    <w:rsid w:val="001433E6"/>
    <w:rsid w:val="001447E8"/>
    <w:rsid w:val="00156145"/>
    <w:rsid w:val="001602CB"/>
    <w:rsid w:val="00160B9B"/>
    <w:rsid w:val="00165FDA"/>
    <w:rsid w:val="0017131D"/>
    <w:rsid w:val="00174696"/>
    <w:rsid w:val="00174FA2"/>
    <w:rsid w:val="00175006"/>
    <w:rsid w:val="001830C0"/>
    <w:rsid w:val="00190207"/>
    <w:rsid w:val="0019083E"/>
    <w:rsid w:val="0019673C"/>
    <w:rsid w:val="001A1574"/>
    <w:rsid w:val="001A222D"/>
    <w:rsid w:val="001A54EF"/>
    <w:rsid w:val="001A6C69"/>
    <w:rsid w:val="001B21C1"/>
    <w:rsid w:val="001B23C8"/>
    <w:rsid w:val="001B3BA6"/>
    <w:rsid w:val="001B5A8C"/>
    <w:rsid w:val="001C5DB0"/>
    <w:rsid w:val="001D2E5E"/>
    <w:rsid w:val="001D6521"/>
    <w:rsid w:val="001D79D0"/>
    <w:rsid w:val="001F1930"/>
    <w:rsid w:val="001F554A"/>
    <w:rsid w:val="002020EC"/>
    <w:rsid w:val="00206871"/>
    <w:rsid w:val="002103C0"/>
    <w:rsid w:val="002109A4"/>
    <w:rsid w:val="0021193A"/>
    <w:rsid w:val="002208FB"/>
    <w:rsid w:val="00221FF3"/>
    <w:rsid w:val="00224B08"/>
    <w:rsid w:val="00224BB4"/>
    <w:rsid w:val="00224C57"/>
    <w:rsid w:val="00226EDE"/>
    <w:rsid w:val="00231401"/>
    <w:rsid w:val="002342B3"/>
    <w:rsid w:val="00235F5B"/>
    <w:rsid w:val="00242A42"/>
    <w:rsid w:val="00246A75"/>
    <w:rsid w:val="00252A1D"/>
    <w:rsid w:val="00252E0B"/>
    <w:rsid w:val="0025353E"/>
    <w:rsid w:val="00257DE5"/>
    <w:rsid w:val="00270BC6"/>
    <w:rsid w:val="002740BF"/>
    <w:rsid w:val="00275C46"/>
    <w:rsid w:val="002767F8"/>
    <w:rsid w:val="00277BE0"/>
    <w:rsid w:val="00277D80"/>
    <w:rsid w:val="00285F6E"/>
    <w:rsid w:val="00286ADB"/>
    <w:rsid w:val="002937BD"/>
    <w:rsid w:val="002938DF"/>
    <w:rsid w:val="0029613D"/>
    <w:rsid w:val="00296171"/>
    <w:rsid w:val="002B7B4F"/>
    <w:rsid w:val="002C0756"/>
    <w:rsid w:val="002C0E47"/>
    <w:rsid w:val="002C3606"/>
    <w:rsid w:val="002C51BA"/>
    <w:rsid w:val="002C5D45"/>
    <w:rsid w:val="002D2214"/>
    <w:rsid w:val="002D33E6"/>
    <w:rsid w:val="002D67FB"/>
    <w:rsid w:val="002D794D"/>
    <w:rsid w:val="002E339D"/>
    <w:rsid w:val="002E5A8F"/>
    <w:rsid w:val="002F0CD5"/>
    <w:rsid w:val="002F3DA8"/>
    <w:rsid w:val="00307AE1"/>
    <w:rsid w:val="00311295"/>
    <w:rsid w:val="00312156"/>
    <w:rsid w:val="00323DCA"/>
    <w:rsid w:val="003251F0"/>
    <w:rsid w:val="00326CA4"/>
    <w:rsid w:val="00327691"/>
    <w:rsid w:val="0033417C"/>
    <w:rsid w:val="003348A9"/>
    <w:rsid w:val="003362C1"/>
    <w:rsid w:val="003420AB"/>
    <w:rsid w:val="003475E9"/>
    <w:rsid w:val="00350509"/>
    <w:rsid w:val="003508AB"/>
    <w:rsid w:val="00353D82"/>
    <w:rsid w:val="0035413E"/>
    <w:rsid w:val="0035488C"/>
    <w:rsid w:val="003554ED"/>
    <w:rsid w:val="003732DD"/>
    <w:rsid w:val="00375F2B"/>
    <w:rsid w:val="00376433"/>
    <w:rsid w:val="00380104"/>
    <w:rsid w:val="00380450"/>
    <w:rsid w:val="00382D15"/>
    <w:rsid w:val="00386606"/>
    <w:rsid w:val="003A4014"/>
    <w:rsid w:val="003A7717"/>
    <w:rsid w:val="003B0B40"/>
    <w:rsid w:val="003B1ACE"/>
    <w:rsid w:val="003B67F7"/>
    <w:rsid w:val="003B7BF8"/>
    <w:rsid w:val="003D2376"/>
    <w:rsid w:val="003D5D63"/>
    <w:rsid w:val="003E0838"/>
    <w:rsid w:val="003E6740"/>
    <w:rsid w:val="003E7D79"/>
    <w:rsid w:val="003F0E3F"/>
    <w:rsid w:val="003F18C7"/>
    <w:rsid w:val="0040136A"/>
    <w:rsid w:val="00403A15"/>
    <w:rsid w:val="004108C6"/>
    <w:rsid w:val="004113F0"/>
    <w:rsid w:val="00412B99"/>
    <w:rsid w:val="00413FA8"/>
    <w:rsid w:val="004152D7"/>
    <w:rsid w:val="00427595"/>
    <w:rsid w:val="00432F84"/>
    <w:rsid w:val="004365F3"/>
    <w:rsid w:val="00444EE5"/>
    <w:rsid w:val="004473BC"/>
    <w:rsid w:val="004550CC"/>
    <w:rsid w:val="00455222"/>
    <w:rsid w:val="00455F3E"/>
    <w:rsid w:val="0046282B"/>
    <w:rsid w:val="00463530"/>
    <w:rsid w:val="00463CA5"/>
    <w:rsid w:val="00466D2F"/>
    <w:rsid w:val="0046741F"/>
    <w:rsid w:val="00471D24"/>
    <w:rsid w:val="004720B2"/>
    <w:rsid w:val="00476055"/>
    <w:rsid w:val="00476A3A"/>
    <w:rsid w:val="00483976"/>
    <w:rsid w:val="00487334"/>
    <w:rsid w:val="00490E58"/>
    <w:rsid w:val="00492F3B"/>
    <w:rsid w:val="00496BCF"/>
    <w:rsid w:val="004A3D34"/>
    <w:rsid w:val="004A553F"/>
    <w:rsid w:val="004B0CAB"/>
    <w:rsid w:val="004B1891"/>
    <w:rsid w:val="004B5116"/>
    <w:rsid w:val="004B52A6"/>
    <w:rsid w:val="004B70DC"/>
    <w:rsid w:val="004C406C"/>
    <w:rsid w:val="004C4073"/>
    <w:rsid w:val="004C62A5"/>
    <w:rsid w:val="004C7414"/>
    <w:rsid w:val="004E02F9"/>
    <w:rsid w:val="004E786F"/>
    <w:rsid w:val="004F0DB5"/>
    <w:rsid w:val="004F1D63"/>
    <w:rsid w:val="004F23CA"/>
    <w:rsid w:val="004F2A1A"/>
    <w:rsid w:val="004F3FE4"/>
    <w:rsid w:val="004F592D"/>
    <w:rsid w:val="004F6D9B"/>
    <w:rsid w:val="00502265"/>
    <w:rsid w:val="0050389F"/>
    <w:rsid w:val="005048C9"/>
    <w:rsid w:val="00507B60"/>
    <w:rsid w:val="00507E2E"/>
    <w:rsid w:val="00513167"/>
    <w:rsid w:val="00513F2A"/>
    <w:rsid w:val="00514C25"/>
    <w:rsid w:val="00531F23"/>
    <w:rsid w:val="00536EC9"/>
    <w:rsid w:val="00540DD3"/>
    <w:rsid w:val="00543A71"/>
    <w:rsid w:val="0054513B"/>
    <w:rsid w:val="0055454B"/>
    <w:rsid w:val="00554CA9"/>
    <w:rsid w:val="00556376"/>
    <w:rsid w:val="00561465"/>
    <w:rsid w:val="005712EA"/>
    <w:rsid w:val="00574EBE"/>
    <w:rsid w:val="00575727"/>
    <w:rsid w:val="0057727F"/>
    <w:rsid w:val="00584B01"/>
    <w:rsid w:val="005877CC"/>
    <w:rsid w:val="00596A34"/>
    <w:rsid w:val="00597D34"/>
    <w:rsid w:val="005A0130"/>
    <w:rsid w:val="005A23AF"/>
    <w:rsid w:val="005A4246"/>
    <w:rsid w:val="005A7201"/>
    <w:rsid w:val="005A78A0"/>
    <w:rsid w:val="005B33C5"/>
    <w:rsid w:val="005B5108"/>
    <w:rsid w:val="005B7CAC"/>
    <w:rsid w:val="005C08A5"/>
    <w:rsid w:val="005C3F8E"/>
    <w:rsid w:val="005C5283"/>
    <w:rsid w:val="005D01B7"/>
    <w:rsid w:val="005D02D7"/>
    <w:rsid w:val="005D125B"/>
    <w:rsid w:val="005D159B"/>
    <w:rsid w:val="005D2A0C"/>
    <w:rsid w:val="005D49CC"/>
    <w:rsid w:val="005D4AC0"/>
    <w:rsid w:val="005D6764"/>
    <w:rsid w:val="005E1BEA"/>
    <w:rsid w:val="005E35B5"/>
    <w:rsid w:val="005E5BE0"/>
    <w:rsid w:val="005F3B56"/>
    <w:rsid w:val="005F6342"/>
    <w:rsid w:val="005F6F3D"/>
    <w:rsid w:val="00600E2E"/>
    <w:rsid w:val="00605FE0"/>
    <w:rsid w:val="00610848"/>
    <w:rsid w:val="00611B03"/>
    <w:rsid w:val="00613D5E"/>
    <w:rsid w:val="00620774"/>
    <w:rsid w:val="00620C29"/>
    <w:rsid w:val="006317EE"/>
    <w:rsid w:val="006335FC"/>
    <w:rsid w:val="0063557A"/>
    <w:rsid w:val="00636D19"/>
    <w:rsid w:val="00641E2F"/>
    <w:rsid w:val="0064321D"/>
    <w:rsid w:val="00643406"/>
    <w:rsid w:val="00651ECC"/>
    <w:rsid w:val="00662A8C"/>
    <w:rsid w:val="00662D44"/>
    <w:rsid w:val="006707D0"/>
    <w:rsid w:val="00687E55"/>
    <w:rsid w:val="006A2C0A"/>
    <w:rsid w:val="006A72F0"/>
    <w:rsid w:val="006B5FB5"/>
    <w:rsid w:val="006C1028"/>
    <w:rsid w:val="006D3B1D"/>
    <w:rsid w:val="006D3CE3"/>
    <w:rsid w:val="006D54F4"/>
    <w:rsid w:val="006E454E"/>
    <w:rsid w:val="006E7D21"/>
    <w:rsid w:val="006F047F"/>
    <w:rsid w:val="006F0B3B"/>
    <w:rsid w:val="0071492A"/>
    <w:rsid w:val="0071760F"/>
    <w:rsid w:val="0072116E"/>
    <w:rsid w:val="00724211"/>
    <w:rsid w:val="00727079"/>
    <w:rsid w:val="00727BF5"/>
    <w:rsid w:val="00733D2D"/>
    <w:rsid w:val="00735F31"/>
    <w:rsid w:val="007427AC"/>
    <w:rsid w:val="00743EF5"/>
    <w:rsid w:val="0074648A"/>
    <w:rsid w:val="007528BD"/>
    <w:rsid w:val="0075681D"/>
    <w:rsid w:val="00756EE3"/>
    <w:rsid w:val="00762980"/>
    <w:rsid w:val="007679FA"/>
    <w:rsid w:val="0077165D"/>
    <w:rsid w:val="00777CCB"/>
    <w:rsid w:val="00784A9B"/>
    <w:rsid w:val="007853F4"/>
    <w:rsid w:val="007862B2"/>
    <w:rsid w:val="007964F4"/>
    <w:rsid w:val="00797C92"/>
    <w:rsid w:val="007A1EAF"/>
    <w:rsid w:val="007B6C20"/>
    <w:rsid w:val="007C0D0A"/>
    <w:rsid w:val="007C1900"/>
    <w:rsid w:val="007C3F83"/>
    <w:rsid w:val="007C42DA"/>
    <w:rsid w:val="007C5E63"/>
    <w:rsid w:val="007D7C85"/>
    <w:rsid w:val="007F168C"/>
    <w:rsid w:val="007F517A"/>
    <w:rsid w:val="007F526D"/>
    <w:rsid w:val="007F59E4"/>
    <w:rsid w:val="00806928"/>
    <w:rsid w:val="00807016"/>
    <w:rsid w:val="00815F17"/>
    <w:rsid w:val="00836127"/>
    <w:rsid w:val="0084269C"/>
    <w:rsid w:val="008620A2"/>
    <w:rsid w:val="008643A9"/>
    <w:rsid w:val="008738E6"/>
    <w:rsid w:val="00873CD5"/>
    <w:rsid w:val="008748AD"/>
    <w:rsid w:val="00877DF5"/>
    <w:rsid w:val="00884E44"/>
    <w:rsid w:val="008864CF"/>
    <w:rsid w:val="00887561"/>
    <w:rsid w:val="008904D0"/>
    <w:rsid w:val="008A251E"/>
    <w:rsid w:val="008A306E"/>
    <w:rsid w:val="008A3DB8"/>
    <w:rsid w:val="008A4D96"/>
    <w:rsid w:val="008B1B17"/>
    <w:rsid w:val="008B2A34"/>
    <w:rsid w:val="008B665D"/>
    <w:rsid w:val="008C1904"/>
    <w:rsid w:val="008C351C"/>
    <w:rsid w:val="008C6A37"/>
    <w:rsid w:val="008C6C27"/>
    <w:rsid w:val="008E35B6"/>
    <w:rsid w:val="008E5B42"/>
    <w:rsid w:val="008F202A"/>
    <w:rsid w:val="008F5B21"/>
    <w:rsid w:val="008F7F49"/>
    <w:rsid w:val="00902F2A"/>
    <w:rsid w:val="00904703"/>
    <w:rsid w:val="00920945"/>
    <w:rsid w:val="00921B78"/>
    <w:rsid w:val="00924361"/>
    <w:rsid w:val="00926736"/>
    <w:rsid w:val="00926C44"/>
    <w:rsid w:val="0093095F"/>
    <w:rsid w:val="00931C2D"/>
    <w:rsid w:val="00932C09"/>
    <w:rsid w:val="00935CA4"/>
    <w:rsid w:val="009361AA"/>
    <w:rsid w:val="00940BFD"/>
    <w:rsid w:val="00952593"/>
    <w:rsid w:val="00953FBE"/>
    <w:rsid w:val="00960496"/>
    <w:rsid w:val="00962D83"/>
    <w:rsid w:val="009648A4"/>
    <w:rsid w:val="00964A1E"/>
    <w:rsid w:val="00971711"/>
    <w:rsid w:val="00975316"/>
    <w:rsid w:val="00990F29"/>
    <w:rsid w:val="009919CE"/>
    <w:rsid w:val="00992319"/>
    <w:rsid w:val="009933F8"/>
    <w:rsid w:val="009A536D"/>
    <w:rsid w:val="009B02E3"/>
    <w:rsid w:val="009C0C32"/>
    <w:rsid w:val="009E66EF"/>
    <w:rsid w:val="009F476C"/>
    <w:rsid w:val="009F75CC"/>
    <w:rsid w:val="00A07426"/>
    <w:rsid w:val="00A11704"/>
    <w:rsid w:val="00A166EE"/>
    <w:rsid w:val="00A214EC"/>
    <w:rsid w:val="00A2202D"/>
    <w:rsid w:val="00A230C5"/>
    <w:rsid w:val="00A31CFE"/>
    <w:rsid w:val="00A337D5"/>
    <w:rsid w:val="00A34853"/>
    <w:rsid w:val="00A3618A"/>
    <w:rsid w:val="00A3620F"/>
    <w:rsid w:val="00A457B5"/>
    <w:rsid w:val="00A471B1"/>
    <w:rsid w:val="00A54F6B"/>
    <w:rsid w:val="00A5772B"/>
    <w:rsid w:val="00A60F32"/>
    <w:rsid w:val="00A632EF"/>
    <w:rsid w:val="00A64D26"/>
    <w:rsid w:val="00A74E04"/>
    <w:rsid w:val="00A75443"/>
    <w:rsid w:val="00A75A5E"/>
    <w:rsid w:val="00A767E5"/>
    <w:rsid w:val="00A77DE1"/>
    <w:rsid w:val="00A83C17"/>
    <w:rsid w:val="00A840E5"/>
    <w:rsid w:val="00A93E95"/>
    <w:rsid w:val="00AA10EA"/>
    <w:rsid w:val="00AA2F3B"/>
    <w:rsid w:val="00AA60FB"/>
    <w:rsid w:val="00AB01F4"/>
    <w:rsid w:val="00AB67AE"/>
    <w:rsid w:val="00AC1A94"/>
    <w:rsid w:val="00AC1F80"/>
    <w:rsid w:val="00AC3D95"/>
    <w:rsid w:val="00AD6BA1"/>
    <w:rsid w:val="00AF0ED4"/>
    <w:rsid w:val="00AF218E"/>
    <w:rsid w:val="00AF23A8"/>
    <w:rsid w:val="00B227C3"/>
    <w:rsid w:val="00B23730"/>
    <w:rsid w:val="00B23DB3"/>
    <w:rsid w:val="00B37BC1"/>
    <w:rsid w:val="00B439AE"/>
    <w:rsid w:val="00B51FB7"/>
    <w:rsid w:val="00B52F85"/>
    <w:rsid w:val="00B574B8"/>
    <w:rsid w:val="00B647BE"/>
    <w:rsid w:val="00B8044E"/>
    <w:rsid w:val="00B844FA"/>
    <w:rsid w:val="00B8734D"/>
    <w:rsid w:val="00B92578"/>
    <w:rsid w:val="00B93287"/>
    <w:rsid w:val="00B96C67"/>
    <w:rsid w:val="00BA0B06"/>
    <w:rsid w:val="00BA0CE9"/>
    <w:rsid w:val="00BA316F"/>
    <w:rsid w:val="00BA3EF1"/>
    <w:rsid w:val="00BB0547"/>
    <w:rsid w:val="00BB42D0"/>
    <w:rsid w:val="00BC5D04"/>
    <w:rsid w:val="00BC7C5F"/>
    <w:rsid w:val="00BD1A7F"/>
    <w:rsid w:val="00BD323E"/>
    <w:rsid w:val="00BD33A0"/>
    <w:rsid w:val="00BE20E9"/>
    <w:rsid w:val="00BF3520"/>
    <w:rsid w:val="00BF49A4"/>
    <w:rsid w:val="00C03172"/>
    <w:rsid w:val="00C03FB7"/>
    <w:rsid w:val="00C1434C"/>
    <w:rsid w:val="00C15FD2"/>
    <w:rsid w:val="00C16369"/>
    <w:rsid w:val="00C17310"/>
    <w:rsid w:val="00C2006F"/>
    <w:rsid w:val="00C228DD"/>
    <w:rsid w:val="00C34219"/>
    <w:rsid w:val="00C45C22"/>
    <w:rsid w:val="00C47741"/>
    <w:rsid w:val="00C50158"/>
    <w:rsid w:val="00C5175F"/>
    <w:rsid w:val="00C54AA5"/>
    <w:rsid w:val="00C62FD1"/>
    <w:rsid w:val="00C665BC"/>
    <w:rsid w:val="00C675B5"/>
    <w:rsid w:val="00C7283B"/>
    <w:rsid w:val="00C745B7"/>
    <w:rsid w:val="00C8010C"/>
    <w:rsid w:val="00C80B44"/>
    <w:rsid w:val="00C83811"/>
    <w:rsid w:val="00C8725A"/>
    <w:rsid w:val="00C93006"/>
    <w:rsid w:val="00CA1213"/>
    <w:rsid w:val="00CA5EA5"/>
    <w:rsid w:val="00CB1A9C"/>
    <w:rsid w:val="00CB4689"/>
    <w:rsid w:val="00CC0C3D"/>
    <w:rsid w:val="00CC1C6E"/>
    <w:rsid w:val="00CC3130"/>
    <w:rsid w:val="00CC6B06"/>
    <w:rsid w:val="00CC6E25"/>
    <w:rsid w:val="00CD053D"/>
    <w:rsid w:val="00CD26E9"/>
    <w:rsid w:val="00CD43A5"/>
    <w:rsid w:val="00CD6A84"/>
    <w:rsid w:val="00CD6AD0"/>
    <w:rsid w:val="00CE22F3"/>
    <w:rsid w:val="00CE51C7"/>
    <w:rsid w:val="00CF017E"/>
    <w:rsid w:val="00CF2457"/>
    <w:rsid w:val="00CF288F"/>
    <w:rsid w:val="00CF5CD1"/>
    <w:rsid w:val="00CF6CBF"/>
    <w:rsid w:val="00D04CB8"/>
    <w:rsid w:val="00D07B91"/>
    <w:rsid w:val="00D11695"/>
    <w:rsid w:val="00D11E47"/>
    <w:rsid w:val="00D12959"/>
    <w:rsid w:val="00D135D8"/>
    <w:rsid w:val="00D144C5"/>
    <w:rsid w:val="00D1709B"/>
    <w:rsid w:val="00D20880"/>
    <w:rsid w:val="00D214B4"/>
    <w:rsid w:val="00D22A79"/>
    <w:rsid w:val="00D24507"/>
    <w:rsid w:val="00D25DF2"/>
    <w:rsid w:val="00D266AC"/>
    <w:rsid w:val="00D37166"/>
    <w:rsid w:val="00D41E11"/>
    <w:rsid w:val="00D455B8"/>
    <w:rsid w:val="00D460AE"/>
    <w:rsid w:val="00D57907"/>
    <w:rsid w:val="00D616D1"/>
    <w:rsid w:val="00D61C9E"/>
    <w:rsid w:val="00D645FC"/>
    <w:rsid w:val="00D675F5"/>
    <w:rsid w:val="00D67CF2"/>
    <w:rsid w:val="00D8198A"/>
    <w:rsid w:val="00D84E49"/>
    <w:rsid w:val="00DA3B86"/>
    <w:rsid w:val="00DA7941"/>
    <w:rsid w:val="00DB3506"/>
    <w:rsid w:val="00DB7D20"/>
    <w:rsid w:val="00DC5117"/>
    <w:rsid w:val="00DC6C8B"/>
    <w:rsid w:val="00DD48F4"/>
    <w:rsid w:val="00DD680F"/>
    <w:rsid w:val="00DE3E03"/>
    <w:rsid w:val="00DE5E9B"/>
    <w:rsid w:val="00DE6EDF"/>
    <w:rsid w:val="00DF03C8"/>
    <w:rsid w:val="00DF308E"/>
    <w:rsid w:val="00DF5DBF"/>
    <w:rsid w:val="00DF7193"/>
    <w:rsid w:val="00E03078"/>
    <w:rsid w:val="00E034F4"/>
    <w:rsid w:val="00E12ED5"/>
    <w:rsid w:val="00E30F9C"/>
    <w:rsid w:val="00E31C0D"/>
    <w:rsid w:val="00E36B34"/>
    <w:rsid w:val="00E40F1F"/>
    <w:rsid w:val="00E41FAD"/>
    <w:rsid w:val="00E4342E"/>
    <w:rsid w:val="00E46941"/>
    <w:rsid w:val="00E577D5"/>
    <w:rsid w:val="00E61BE3"/>
    <w:rsid w:val="00E64973"/>
    <w:rsid w:val="00E70C39"/>
    <w:rsid w:val="00E712AF"/>
    <w:rsid w:val="00E71525"/>
    <w:rsid w:val="00E7703E"/>
    <w:rsid w:val="00E77B68"/>
    <w:rsid w:val="00E82530"/>
    <w:rsid w:val="00E84DC1"/>
    <w:rsid w:val="00E9080E"/>
    <w:rsid w:val="00E925AB"/>
    <w:rsid w:val="00E92D4F"/>
    <w:rsid w:val="00E9443D"/>
    <w:rsid w:val="00E94B4A"/>
    <w:rsid w:val="00EA1CA3"/>
    <w:rsid w:val="00EA3E69"/>
    <w:rsid w:val="00EA5F0E"/>
    <w:rsid w:val="00EA694B"/>
    <w:rsid w:val="00EB1264"/>
    <w:rsid w:val="00EB2068"/>
    <w:rsid w:val="00EB31A7"/>
    <w:rsid w:val="00EB372E"/>
    <w:rsid w:val="00EC1896"/>
    <w:rsid w:val="00EC2EDF"/>
    <w:rsid w:val="00ED099F"/>
    <w:rsid w:val="00ED3B18"/>
    <w:rsid w:val="00ED6A00"/>
    <w:rsid w:val="00EE0B4F"/>
    <w:rsid w:val="00EE27BB"/>
    <w:rsid w:val="00EE45F5"/>
    <w:rsid w:val="00EF35FB"/>
    <w:rsid w:val="00EF53B7"/>
    <w:rsid w:val="00EF5F3B"/>
    <w:rsid w:val="00F02D27"/>
    <w:rsid w:val="00F06224"/>
    <w:rsid w:val="00F07076"/>
    <w:rsid w:val="00F10D34"/>
    <w:rsid w:val="00F10D43"/>
    <w:rsid w:val="00F11E3A"/>
    <w:rsid w:val="00F152DE"/>
    <w:rsid w:val="00F16311"/>
    <w:rsid w:val="00F30DA5"/>
    <w:rsid w:val="00F32EAD"/>
    <w:rsid w:val="00F408A8"/>
    <w:rsid w:val="00F43237"/>
    <w:rsid w:val="00F44EA8"/>
    <w:rsid w:val="00F464A1"/>
    <w:rsid w:val="00F573BA"/>
    <w:rsid w:val="00F62E16"/>
    <w:rsid w:val="00F65E7A"/>
    <w:rsid w:val="00F679AA"/>
    <w:rsid w:val="00F736A1"/>
    <w:rsid w:val="00F73F63"/>
    <w:rsid w:val="00F80BC1"/>
    <w:rsid w:val="00F83EA8"/>
    <w:rsid w:val="00F849C3"/>
    <w:rsid w:val="00F85110"/>
    <w:rsid w:val="00F857F5"/>
    <w:rsid w:val="00F85DD6"/>
    <w:rsid w:val="00F8649A"/>
    <w:rsid w:val="00F87875"/>
    <w:rsid w:val="00F90CD5"/>
    <w:rsid w:val="00F955CA"/>
    <w:rsid w:val="00F958CD"/>
    <w:rsid w:val="00F9706E"/>
    <w:rsid w:val="00FA06FB"/>
    <w:rsid w:val="00FA1059"/>
    <w:rsid w:val="00FA4200"/>
    <w:rsid w:val="00FB0D66"/>
    <w:rsid w:val="00FB1DD9"/>
    <w:rsid w:val="00FB2F32"/>
    <w:rsid w:val="00FC0A51"/>
    <w:rsid w:val="00FC4FFA"/>
    <w:rsid w:val="00FC67D0"/>
    <w:rsid w:val="00FD0DBB"/>
    <w:rsid w:val="00FD3690"/>
    <w:rsid w:val="00FD3AF7"/>
    <w:rsid w:val="00FD7D29"/>
    <w:rsid w:val="00FE4D8B"/>
    <w:rsid w:val="00FF4190"/>
    <w:rsid w:val="00FF73C2"/>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DFEA8"/>
  <w15:docId w15:val="{BD735D88-D8DF-40E7-80F9-A17B6B1C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2"/>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qFormat/>
    <w:rsid w:val="006E7D21"/>
    <w:pPr>
      <w:keepNext/>
      <w:numPr>
        <w:ilvl w:val="1"/>
        <w:numId w:val="1"/>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1"/>
      </w:numPr>
      <w:outlineLvl w:val="2"/>
    </w:pPr>
    <w:rPr>
      <w:rFonts w:cs="Arial"/>
      <w:b/>
      <w:i/>
      <w:color w:val="005B82"/>
      <w:lang w:val="en-CA"/>
    </w:rPr>
  </w:style>
  <w:style w:type="paragraph" w:styleId="Heading4">
    <w:name w:val="heading 4"/>
    <w:basedOn w:val="Normal"/>
    <w:next w:val="Normal"/>
    <w:qFormat/>
    <w:rsid w:val="00471D24"/>
    <w:pPr>
      <w:keepNext/>
      <w:numPr>
        <w:ilvl w:val="3"/>
        <w:numId w:val="1"/>
      </w:numPr>
      <w:jc w:val="center"/>
      <w:outlineLvl w:val="3"/>
    </w:pPr>
    <w:rPr>
      <w:b/>
      <w:bCs/>
    </w:rPr>
  </w:style>
  <w:style w:type="paragraph" w:styleId="Heading5">
    <w:name w:val="heading 5"/>
    <w:basedOn w:val="Normal"/>
    <w:next w:val="Normal"/>
    <w:qFormat/>
    <w:rsid w:val="00471D24"/>
    <w:pPr>
      <w:keepNext/>
      <w:numPr>
        <w:ilvl w:val="4"/>
        <w:numId w:val="1"/>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1"/>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1"/>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1"/>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customStyle="1" w:styleId="CommentTextChar">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 w:type="character" w:customStyle="1" w:styleId="UnresolvedMention">
    <w:name w:val="Unresolved Mention"/>
    <w:basedOn w:val="DefaultParagraphFont"/>
    <w:uiPriority w:val="99"/>
    <w:semiHidden/>
    <w:unhideWhenUsed/>
    <w:rsid w:val="006F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319770661">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099133092">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ra.org/project/vcs-version-4-2018-public-consultat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box.com/s/a6svofqzlxaxh8n8bo8ug4i3x3bg0a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bergquint.com/technology/turkish-energy-producers-said-to-consider-refinancing-loa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oomberg.com/news/articles/2017-03-09/turkish-energy-producers-said-to-consider-refinancing-loans" TargetMode="External"/><Relationship Id="rId4" Type="http://schemas.openxmlformats.org/officeDocument/2006/relationships/settings" Target="settings.xml"/><Relationship Id="rId9" Type="http://schemas.openxmlformats.org/officeDocument/2006/relationships/hyperlink" Target="https://verra.org/project/vcs-version-4-public-consult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F3C0-E539-43D8-B6D0-8BB39853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WBCSD</Company>
  <LinksUpToDate>false</LinksUpToDate>
  <CharactersWithSpaces>6527</CharactersWithSpaces>
  <SharedDoc>false</SharedDoc>
  <HLinks>
    <vt:vector size="6" baseType="variant">
      <vt:variant>
        <vt:i4>262205</vt:i4>
      </vt:variant>
      <vt:variant>
        <vt:i4>0</vt:i4>
      </vt:variant>
      <vt:variant>
        <vt:i4>0</vt:i4>
      </vt:variant>
      <vt:variant>
        <vt:i4>5</vt:i4>
      </vt:variant>
      <vt:variant>
        <vt:lpwstr>mailto:shoffer@v-c-s.org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shoffer</dc:creator>
  <cp:lastModifiedBy>Elijah Umek</cp:lastModifiedBy>
  <cp:revision>3</cp:revision>
  <cp:lastPrinted>2014-02-05T23:05:00Z</cp:lastPrinted>
  <dcterms:created xsi:type="dcterms:W3CDTF">2021-01-28T15:06:00Z</dcterms:created>
  <dcterms:modified xsi:type="dcterms:W3CDTF">2021-01-28T15:09:00Z</dcterms:modified>
</cp:coreProperties>
</file>