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D419" w14:textId="77777777" w:rsidR="00733861" w:rsidRPr="00733861" w:rsidRDefault="00733861" w:rsidP="00733861">
      <w:pPr>
        <w:rPr>
          <w:b/>
          <w:caps/>
          <w:color w:val="00B9BD" w:themeColor="accent1"/>
          <w:sz w:val="48"/>
          <w:lang w:val="en-GB"/>
        </w:rPr>
      </w:pPr>
      <w:r w:rsidRPr="00733861">
        <w:rPr>
          <w:b/>
          <w:caps/>
          <w:color w:val="00B9BD" w:themeColor="accent1"/>
          <w:sz w:val="48"/>
          <w:lang w:val="en-GB"/>
        </w:rPr>
        <w:t>Monitoring Report</w:t>
      </w:r>
    </w:p>
    <w:p w14:paraId="3CD7A092" w14:textId="17A8E6CD" w:rsidR="00F92931" w:rsidRPr="0022081F" w:rsidRDefault="00477CEE" w:rsidP="002E5DB5">
      <w:r>
        <w:rPr>
          <w:noProof/>
          <w14:cntxtAlts w14:val="0"/>
        </w:rPr>
        <w:pict w14:anchorId="15522EB2">
          <v:rect id="_x0000_i1026" alt="" style="width:451.3pt;height:.05pt;mso-width-percent:0;mso-height-percent:0;mso-width-percent:0;mso-height-percent:0" o:hralign="center" o:hrstd="t" o:hr="t" fillcolor="#a0a0a0" stroked="f"/>
        </w:pict>
      </w:r>
    </w:p>
    <w:p w14:paraId="3737D389" w14:textId="23843997" w:rsidR="00635A56" w:rsidRPr="004B2474" w:rsidRDefault="0002272D" w:rsidP="00635A56">
      <w:pPr>
        <w:pStyle w:val="Heading6"/>
      </w:pPr>
      <w:r w:rsidRPr="004B2474">
        <w:rPr>
          <w:sz w:val="24"/>
        </w:rPr>
        <w:t xml:space="preserve">PUBLICATION DATE </w:t>
      </w:r>
      <w:r w:rsidRPr="004B2474">
        <w:t xml:space="preserve"> </w:t>
      </w:r>
      <w:r w:rsidR="0056373F" w:rsidRPr="004B2474">
        <w:rPr>
          <w:b/>
          <w:bCs/>
          <w:color w:val="515151" w:themeColor="text1"/>
        </w:rPr>
        <w:t>14</w:t>
      </w:r>
      <w:r w:rsidRPr="004B2474">
        <w:rPr>
          <w:b/>
          <w:bCs/>
          <w:color w:val="515151" w:themeColor="text1"/>
        </w:rPr>
        <w:t>.</w:t>
      </w:r>
      <w:r w:rsidR="00460D2E" w:rsidRPr="004B2474">
        <w:rPr>
          <w:b/>
          <w:bCs/>
          <w:color w:val="515151" w:themeColor="text1"/>
        </w:rPr>
        <w:t>10</w:t>
      </w:r>
      <w:r w:rsidRPr="004B2474">
        <w:rPr>
          <w:b/>
          <w:bCs/>
          <w:color w:val="515151" w:themeColor="text1"/>
        </w:rPr>
        <w:t>.</w:t>
      </w:r>
      <w:r w:rsidR="00460D2E" w:rsidRPr="004B2474">
        <w:rPr>
          <w:b/>
          <w:bCs/>
          <w:color w:val="515151" w:themeColor="text1"/>
        </w:rPr>
        <w:t>2020</w:t>
      </w:r>
      <w:r w:rsidR="00A96321" w:rsidRPr="004B2474">
        <w:br/>
      </w:r>
      <w:r w:rsidR="00CD41BB" w:rsidRPr="004B2474">
        <w:rPr>
          <w:sz w:val="24"/>
        </w:rPr>
        <w:t xml:space="preserve">VERSION </w:t>
      </w:r>
      <w:r w:rsidRPr="004B2474">
        <w:t xml:space="preserve"> </w:t>
      </w:r>
      <w:r w:rsidRPr="004B2474">
        <w:rPr>
          <w:b/>
          <w:bCs/>
          <w:color w:val="515151" w:themeColor="text1"/>
        </w:rPr>
        <w:t xml:space="preserve">v. </w:t>
      </w:r>
      <w:r w:rsidR="00460D2E" w:rsidRPr="004B2474">
        <w:rPr>
          <w:b/>
          <w:bCs/>
          <w:color w:val="515151" w:themeColor="text1"/>
        </w:rPr>
        <w:t>1</w:t>
      </w:r>
      <w:r w:rsidRPr="004B2474">
        <w:rPr>
          <w:b/>
          <w:bCs/>
          <w:color w:val="515151" w:themeColor="text1"/>
        </w:rPr>
        <w:t>.</w:t>
      </w:r>
      <w:r w:rsidR="004B2474">
        <w:rPr>
          <w:b/>
          <w:bCs/>
          <w:color w:val="515151" w:themeColor="text1"/>
        </w:rPr>
        <w:t>1</w:t>
      </w:r>
      <w:r w:rsidRPr="004B2474">
        <w:rPr>
          <w:b/>
          <w:bCs/>
          <w:color w:val="515151" w:themeColor="text1"/>
        </w:rPr>
        <w:t xml:space="preserve"> </w:t>
      </w:r>
      <w:r w:rsidR="0096773B" w:rsidRPr="004B2474">
        <w:rPr>
          <w:b/>
          <w:bCs/>
          <w:color w:val="515151" w:themeColor="text1"/>
        </w:rPr>
        <w:br/>
      </w:r>
      <w:r w:rsidR="00A96321" w:rsidRPr="004B2474">
        <w:rPr>
          <w:sz w:val="24"/>
        </w:rPr>
        <w:t xml:space="preserve">RELATED </w:t>
      </w:r>
      <w:r w:rsidR="00CF0CFE" w:rsidRPr="004B2474">
        <w:rPr>
          <w:sz w:val="24"/>
        </w:rPr>
        <w:t>SUPPORT</w:t>
      </w:r>
      <w:r w:rsidR="00A96321" w:rsidRPr="004B2474">
        <w:rPr>
          <w:sz w:val="24"/>
        </w:rPr>
        <w:t xml:space="preserve"> </w:t>
      </w:r>
      <w:r w:rsidR="00BA3DE6">
        <w:rPr>
          <w:b/>
          <w:bCs/>
        </w:rPr>
        <w:t xml:space="preserve">- </w:t>
      </w:r>
      <w:hyperlink r:id="rId11" w:history="1">
        <w:r w:rsidR="004473A5" w:rsidRPr="00BA3DE6">
          <w:rPr>
            <w:b/>
            <w:bCs/>
            <w:color w:val="515151" w:themeColor="text1"/>
          </w:rPr>
          <w:t xml:space="preserve">TEMPLATE GUIDE </w:t>
        </w:r>
        <w:r w:rsidR="00733861" w:rsidRPr="00BA3DE6">
          <w:rPr>
            <w:b/>
            <w:bCs/>
            <w:color w:val="515151" w:themeColor="text1"/>
          </w:rPr>
          <w:t>Monitoring Report</w:t>
        </w:r>
        <w:r w:rsidR="0056373F" w:rsidRPr="00BA3DE6">
          <w:rPr>
            <w:b/>
            <w:bCs/>
            <w:color w:val="515151" w:themeColor="text1"/>
          </w:rPr>
          <w:t xml:space="preserve"> v. 1.1</w:t>
        </w:r>
      </w:hyperlink>
    </w:p>
    <w:p w14:paraId="73BB0815" w14:textId="77777777" w:rsidR="00F92931" w:rsidRPr="00947B25" w:rsidRDefault="00477CEE" w:rsidP="00635A56">
      <w:pPr>
        <w:pStyle w:val="Heading6"/>
      </w:pPr>
      <w:r>
        <w:rPr>
          <w:noProof/>
          <w14:cntxtAlts w14:val="0"/>
        </w:rPr>
        <w:pict w14:anchorId="0F4C9006">
          <v:rect id="_x0000_i1027" alt="" style="width:451.3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3D809633" w14:textId="77777777" w:rsidR="007D2F0B" w:rsidRPr="00C30F02" w:rsidRDefault="007D2F0B" w:rsidP="00C30F02">
      <w:pPr>
        <w:rPr>
          <w:lang w:val="en-GB"/>
        </w:rPr>
      </w:pPr>
    </w:p>
    <w:p w14:paraId="675A72F4" w14:textId="77777777" w:rsidR="004473A5" w:rsidRDefault="004473A5" w:rsidP="004473A5"/>
    <w:p w14:paraId="13F8EF15" w14:textId="77777777" w:rsidR="004473A5" w:rsidRPr="00974F10" w:rsidRDefault="004473A5" w:rsidP="004473A5">
      <w:pPr>
        <w:rPr>
          <w:lang w:val="en-GB"/>
        </w:rPr>
      </w:pPr>
      <w:r w:rsidRPr="00974F10">
        <w:rPr>
          <w:lang w:val="en-GB"/>
        </w:rPr>
        <w:t xml:space="preserve">This document contains the following Sections </w:t>
      </w:r>
    </w:p>
    <w:p w14:paraId="137C07A3" w14:textId="2063F571" w:rsidR="004473A5" w:rsidRPr="00733861" w:rsidRDefault="004473A5" w:rsidP="004473A5">
      <w:pPr>
        <w:rPr>
          <w:lang w:val="en-GB"/>
        </w:rPr>
      </w:pPr>
      <w:r w:rsidRPr="00974F10">
        <w:rPr>
          <w:lang w:val="en-GB"/>
        </w:rPr>
        <w:br/>
        <w:t>Key Project Information</w:t>
      </w:r>
    </w:p>
    <w:p w14:paraId="119C1666"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_Ref49860651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A</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Description of project </w:t>
      </w:r>
    </w:p>
    <w:p w14:paraId="2C14126F"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_Ref49860659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B</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Implementation of project</w:t>
      </w:r>
    </w:p>
    <w:p w14:paraId="1913FBD3"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_Ref49860669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C</w:t>
      </w:r>
      <w:r w:rsidRPr="00733861">
        <w:rPr>
          <w:rFonts w:asciiTheme="minorHAnsi" w:hAnsiTheme="minorHAnsi"/>
          <w:color w:val="515151" w:themeColor="text1"/>
          <w:u w:val="single"/>
        </w:rPr>
        <w:fldChar w:fldCharType="end"/>
      </w:r>
      <w:r w:rsidRPr="00733861">
        <w:rPr>
          <w:rFonts w:asciiTheme="minorHAnsi" w:hAnsiTheme="minorHAnsi"/>
          <w:color w:val="515151" w:themeColor="text1"/>
          <w:u w:val="single"/>
        </w:rPr>
        <w:t xml:space="preserve"> </w:t>
      </w:r>
      <w:r w:rsidRPr="00733861">
        <w:rPr>
          <w:rFonts w:asciiTheme="minorHAnsi" w:hAnsiTheme="minorHAnsi"/>
          <w:color w:val="515151" w:themeColor="text1"/>
        </w:rPr>
        <w:t xml:space="preserve">- Description of monitoring system applied by the project </w:t>
      </w:r>
    </w:p>
    <w:p w14:paraId="2EB09CC7"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_Ref49860677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D</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Data and parameters</w:t>
      </w:r>
    </w:p>
    <w:p w14:paraId="487B50F0"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_Ref49860683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E</w:t>
      </w:r>
      <w:r w:rsidRPr="00733861">
        <w:rPr>
          <w:rFonts w:asciiTheme="minorHAnsi" w:hAnsiTheme="minorHAnsi"/>
          <w:color w:val="515151" w:themeColor="text1"/>
          <w:u w:val="single"/>
        </w:rPr>
        <w:fldChar w:fldCharType="end"/>
      </w:r>
      <w:r w:rsidRPr="00733861">
        <w:rPr>
          <w:rFonts w:asciiTheme="minorHAnsi" w:hAnsiTheme="minorHAnsi"/>
          <w:color w:val="515151" w:themeColor="text1"/>
          <w:u w:val="single"/>
        </w:rPr>
        <w:t xml:space="preserve"> </w:t>
      </w:r>
      <w:r w:rsidRPr="00733861">
        <w:rPr>
          <w:rFonts w:asciiTheme="minorHAnsi" w:hAnsiTheme="minorHAnsi"/>
          <w:color w:val="515151" w:themeColor="text1"/>
        </w:rPr>
        <w:t>- Calculation of SDG Impacts</w:t>
      </w:r>
    </w:p>
    <w:p w14:paraId="3DDCEE70"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_Ref49860694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F</w:t>
      </w:r>
      <w:r w:rsidRPr="00733861">
        <w:rPr>
          <w:rFonts w:asciiTheme="minorHAnsi" w:hAnsiTheme="minorHAnsi"/>
          <w:color w:val="515151" w:themeColor="text1"/>
          <w:u w:val="single"/>
        </w:rPr>
        <w:fldChar w:fldCharType="end"/>
      </w:r>
      <w:r w:rsidRPr="00733861">
        <w:rPr>
          <w:rFonts w:asciiTheme="minorHAnsi" w:hAnsiTheme="minorHAnsi"/>
          <w:color w:val="515151" w:themeColor="text1"/>
          <w:u w:val="single"/>
        </w:rPr>
        <w:t xml:space="preserve"> </w:t>
      </w:r>
      <w:r w:rsidRPr="00733861">
        <w:rPr>
          <w:rFonts w:asciiTheme="minorHAnsi" w:hAnsiTheme="minorHAnsi"/>
          <w:color w:val="515151" w:themeColor="text1"/>
        </w:rPr>
        <w:t>- Safeguards Reporting</w:t>
      </w:r>
    </w:p>
    <w:p w14:paraId="5FB42410" w14:textId="77777777" w:rsidR="00733861" w:rsidRPr="00733861" w:rsidRDefault="00733861" w:rsidP="00733861">
      <w:pPr>
        <w:rPr>
          <w:rFonts w:asciiTheme="minorHAnsi" w:hAnsiTheme="minorHAnsi"/>
          <w:color w:val="515151" w:themeColor="text1"/>
        </w:rPr>
      </w:pPr>
      <w:r w:rsidRPr="00733861">
        <w:rPr>
          <w:rFonts w:asciiTheme="minorHAnsi" w:hAnsiTheme="minorHAnsi"/>
          <w:color w:val="515151" w:themeColor="text1"/>
          <w:u w:val="single"/>
        </w:rPr>
        <w:fldChar w:fldCharType="begin"/>
      </w:r>
      <w:r w:rsidRPr="00733861">
        <w:rPr>
          <w:rFonts w:asciiTheme="minorHAnsi" w:hAnsiTheme="minorHAnsi"/>
          <w:color w:val="515151" w:themeColor="text1"/>
          <w:u w:val="single"/>
        </w:rPr>
        <w:instrText xml:space="preserve"> REF _Ref49860701 \r \h  \* MERGEFORMAT </w:instrText>
      </w:r>
      <w:r w:rsidRPr="00733861">
        <w:rPr>
          <w:rFonts w:asciiTheme="minorHAnsi" w:hAnsiTheme="minorHAnsi"/>
          <w:color w:val="515151" w:themeColor="text1"/>
          <w:u w:val="single"/>
        </w:rPr>
      </w:r>
      <w:r w:rsidRPr="00733861">
        <w:rPr>
          <w:rFonts w:asciiTheme="minorHAnsi" w:hAnsiTheme="minorHAnsi"/>
          <w:color w:val="515151" w:themeColor="text1"/>
          <w:u w:val="single"/>
        </w:rPr>
        <w:fldChar w:fldCharType="separate"/>
      </w:r>
      <w:r w:rsidRPr="00733861">
        <w:rPr>
          <w:rFonts w:asciiTheme="minorHAnsi" w:hAnsiTheme="minorHAnsi"/>
          <w:color w:val="515151" w:themeColor="text1"/>
          <w:u w:val="single"/>
        </w:rPr>
        <w:t>SECTION G</w:t>
      </w:r>
      <w:r w:rsidRPr="00733861">
        <w:rPr>
          <w:rFonts w:asciiTheme="minorHAnsi" w:hAnsiTheme="minorHAnsi"/>
          <w:color w:val="515151" w:themeColor="text1"/>
          <w:u w:val="single"/>
        </w:rPr>
        <w:fldChar w:fldCharType="end"/>
      </w:r>
      <w:r w:rsidRPr="00733861">
        <w:rPr>
          <w:rFonts w:asciiTheme="minorHAnsi" w:hAnsiTheme="minorHAnsi"/>
          <w:color w:val="515151" w:themeColor="text1"/>
        </w:rPr>
        <w:t xml:space="preserve"> - Stakeholder inputs and legal disputes</w:t>
      </w:r>
    </w:p>
    <w:p w14:paraId="471CA981" w14:textId="77777777" w:rsidR="004473A5" w:rsidRPr="008C3818" w:rsidRDefault="004473A5" w:rsidP="004473A5">
      <w:pPr>
        <w:rPr>
          <w:rFonts w:asciiTheme="minorHAnsi" w:hAnsiTheme="minorHAnsi"/>
        </w:rPr>
      </w:pPr>
    </w:p>
    <w:p w14:paraId="090EF51A" w14:textId="5EFF5E3E" w:rsidR="006D53FE" w:rsidRDefault="006D53FE" w:rsidP="004C3B1A"/>
    <w:p w14:paraId="05CF5A40" w14:textId="7EC60809" w:rsidR="00BB782E" w:rsidRDefault="00BB782E" w:rsidP="004C3B1A"/>
    <w:p w14:paraId="0E2F49B8" w14:textId="29A612B7" w:rsidR="00733861" w:rsidRDefault="00733861">
      <w:pPr>
        <w:spacing w:line="276" w:lineRule="auto"/>
        <w:contextualSpacing w:val="0"/>
        <w:rPr>
          <w:lang w:val="en-GB"/>
        </w:rPr>
      </w:pPr>
      <w:r>
        <w:rPr>
          <w:lang w:val="en-GB"/>
        </w:rPr>
        <w:br w:type="page"/>
      </w:r>
    </w:p>
    <w:p w14:paraId="61E41883" w14:textId="2759E634" w:rsidR="00813BDC" w:rsidRDefault="004473A5" w:rsidP="00BA3DE6">
      <w:pPr>
        <w:pStyle w:val="Heading3"/>
        <w:rPr>
          <w:lang w:val="en-GB"/>
        </w:rPr>
      </w:pPr>
      <w:r w:rsidRPr="00C45525">
        <w:lastRenderedPageBreak/>
        <w:t>KEY PROJECT INFORMATION</w:t>
      </w:r>
    </w:p>
    <w:p w14:paraId="41086540" w14:textId="08A43F21" w:rsidR="0000384C" w:rsidRDefault="0000384C" w:rsidP="00BA3DE6">
      <w:pPr>
        <w:framePr w:h="2302" w:hRule="exact" w:wrap="around" w:vAnchor="text" w:hAnchor="margin" w:y="-5"/>
        <w:pBdr>
          <w:top w:val="single" w:sz="2" w:space="10" w:color="00B9BD" w:themeColor="accent1"/>
          <w:left w:val="single" w:sz="2" w:space="10" w:color="00B9BD" w:themeColor="accent1"/>
          <w:bottom w:val="single" w:sz="2" w:space="4" w:color="00B9BD" w:themeColor="accent1"/>
          <w:right w:val="single" w:sz="2" w:space="10" w:color="00B9BD" w:themeColor="accent1"/>
        </w:pBdr>
        <w:spacing w:line="276" w:lineRule="auto"/>
        <w:contextualSpacing w:val="0"/>
        <w:rPr>
          <w:rStyle w:val="Hyperlink"/>
          <w:rFonts w:ascii="Verdana" w:hAnsi="Verdana"/>
          <w:b/>
          <w:bCs/>
        </w:rPr>
      </w:pPr>
      <w:r w:rsidRPr="00DD1F6B">
        <w:rPr>
          <w:lang w:val="en-GB"/>
        </w:rPr>
        <w:t>This template has been revised to aid a consistent interpretation and to better support project developers submitting documentation for certification. Please read the accompanying guide to understand how to complete this template accurately.</w:t>
      </w:r>
      <w:r>
        <w:br/>
      </w:r>
      <w:hyperlink r:id="rId12" w:history="1">
        <w:r w:rsidRPr="004B2474">
          <w:rPr>
            <w:rStyle w:val="Hyperlink"/>
            <w:rFonts w:asciiTheme="majorHAnsi" w:hAnsiTheme="majorHAnsi"/>
            <w:b/>
            <w:bCs/>
          </w:rPr>
          <w:t>TEMPLATE GUIDE Monitoring Report v. 1.1</w:t>
        </w:r>
      </w:hyperlink>
    </w:p>
    <w:p w14:paraId="7A21199E" w14:textId="67433338" w:rsidR="0000384C" w:rsidRPr="00DD1F6B" w:rsidRDefault="0000384C" w:rsidP="00BA3DE6">
      <w:pPr>
        <w:framePr w:h="2302" w:hRule="exact" w:wrap="around" w:vAnchor="text" w:hAnchor="margin" w:y="-5"/>
        <w:pBdr>
          <w:top w:val="single" w:sz="2" w:space="10" w:color="00B9BD" w:themeColor="accent1"/>
          <w:left w:val="single" w:sz="2" w:space="10" w:color="00B9BD" w:themeColor="accent1"/>
          <w:bottom w:val="single" w:sz="2" w:space="4" w:color="00B9BD" w:themeColor="accent1"/>
          <w:right w:val="single" w:sz="2" w:space="10" w:color="00B9BD" w:themeColor="accent1"/>
        </w:pBdr>
        <w:spacing w:line="276" w:lineRule="auto"/>
        <w:contextualSpacing w:val="0"/>
        <w:rPr>
          <w:lang w:val="en-GB"/>
        </w:rPr>
      </w:pPr>
      <w:r>
        <w:rPr>
          <w:lang w:val="en-GB"/>
        </w:rPr>
        <w:t xml:space="preserve">Please delete </w:t>
      </w:r>
      <w:r w:rsidR="00BA3DE6">
        <w:rPr>
          <w:lang w:val="en-GB"/>
        </w:rPr>
        <w:t xml:space="preserve">this </w:t>
      </w:r>
      <w:r>
        <w:rPr>
          <w:lang w:val="en-GB"/>
        </w:rPr>
        <w:t>blue text box</w:t>
      </w:r>
      <w:r w:rsidR="00BA3DE6">
        <w:rPr>
          <w:lang w:val="en-GB"/>
        </w:rPr>
        <w:t xml:space="preserve"> </w:t>
      </w:r>
      <w:r>
        <w:rPr>
          <w:lang w:val="en-GB"/>
        </w:rPr>
        <w:t xml:space="preserve">upon completion  </w:t>
      </w:r>
    </w:p>
    <w:p w14:paraId="440A25D3" w14:textId="61705067" w:rsidR="00733861" w:rsidRDefault="00733861" w:rsidP="004473A5">
      <w:pPr>
        <w:spacing w:line="276" w:lineRule="auto"/>
        <w:contextualSpacing w:val="0"/>
        <w:rPr>
          <w:b/>
          <w:bCs/>
          <w:lang w:val="en-GB"/>
        </w:rPr>
      </w:pPr>
    </w:p>
    <w:p w14:paraId="74ECA499" w14:textId="2AB6DB5C" w:rsidR="004473A5" w:rsidRDefault="00733861" w:rsidP="00816579">
      <w:pPr>
        <w:pStyle w:val="Heading5"/>
        <w:rPr>
          <w:lang w:val="en-GB"/>
        </w:rPr>
      </w:pPr>
      <w:r>
        <w:rPr>
          <w:lang w:val="en-GB"/>
        </w:rPr>
        <w:t xml:space="preserve">Key Project </w:t>
      </w:r>
      <w:r w:rsidRPr="00816579">
        <w:t>Information</w:t>
      </w:r>
    </w:p>
    <w:tbl>
      <w:tblPr>
        <w:tblStyle w:val="GridTable5Dark-Accent1"/>
        <w:tblpPr w:leftFromText="180" w:rightFromText="180" w:vertAnchor="text" w:horzAnchor="margin" w:tblpY="5"/>
        <w:tblW w:w="9442" w:type="dxa"/>
        <w:tblCellMar>
          <w:top w:w="85" w:type="dxa"/>
        </w:tblCellMar>
        <w:tblLook w:val="0680" w:firstRow="0" w:lastRow="0" w:firstColumn="1" w:lastColumn="0" w:noHBand="1" w:noVBand="1"/>
      </w:tblPr>
      <w:tblGrid>
        <w:gridCol w:w="4390"/>
        <w:gridCol w:w="5052"/>
      </w:tblGrid>
      <w:tr w:rsidR="00733861" w:rsidRPr="00211D67" w14:paraId="6845A903"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7848F33A" w14:textId="5612005B"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GS ID (s) of Project (s)</w:t>
            </w:r>
          </w:p>
        </w:tc>
        <w:tc>
          <w:tcPr>
            <w:tcW w:w="5052" w:type="dxa"/>
          </w:tcPr>
          <w:p w14:paraId="3FE7219F" w14:textId="76A70170" w:rsidR="00733861" w:rsidRPr="00733861" w:rsidRDefault="00EF75ED"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rPr>
            </w:pPr>
            <w:r>
              <w:rPr>
                <w:rFonts w:cs="Arial"/>
                <w:sz w:val="20"/>
              </w:rPr>
              <w:t>93</w:t>
            </w:r>
            <w:r w:rsidR="008F5BA4" w:rsidRPr="007C7469">
              <w:rPr>
                <w:rFonts w:cs="Arial"/>
                <w:sz w:val="20"/>
              </w:rPr>
              <w:t>9</w:t>
            </w:r>
          </w:p>
        </w:tc>
      </w:tr>
      <w:tr w:rsidR="00733861" w:rsidRPr="00211D67" w14:paraId="5FE47B57"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430C3144" w14:textId="137808A6"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Title of the project (s) covered by monitoring report</w:t>
            </w:r>
          </w:p>
        </w:tc>
        <w:tc>
          <w:tcPr>
            <w:tcW w:w="5052" w:type="dxa"/>
          </w:tcPr>
          <w:p w14:paraId="551DA898" w14:textId="1ECFD05D" w:rsidR="00733861" w:rsidRPr="00733861" w:rsidRDefault="0056578E"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sidRPr="007C7469">
              <w:rPr>
                <w:rFonts w:cs="Arial"/>
                <w:sz w:val="20"/>
              </w:rPr>
              <w:t>Nairobi River Basin Biogas Project</w:t>
            </w:r>
          </w:p>
        </w:tc>
      </w:tr>
      <w:tr w:rsidR="00733861" w:rsidRPr="00211D67" w14:paraId="7F886451"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0F23BF0C" w14:textId="7EF08332" w:rsidR="00733861" w:rsidRPr="00733861" w:rsidRDefault="00733861" w:rsidP="00733861">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Version number of the PDD/VPA-DD (s) applicable to this monitoring report</w:t>
            </w:r>
          </w:p>
        </w:tc>
        <w:tc>
          <w:tcPr>
            <w:tcW w:w="5052" w:type="dxa"/>
          </w:tcPr>
          <w:p w14:paraId="7583FD51" w14:textId="77777777" w:rsidR="00733861" w:rsidRDefault="005A19ED"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3.1 (GS Passport, 19/02/2013)</w:t>
            </w:r>
          </w:p>
          <w:p w14:paraId="5467FCE7" w14:textId="1610770E" w:rsidR="005A19ED" w:rsidRPr="00733861" w:rsidRDefault="005A19ED"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1 (GS4GG Transition Annex, 22/10/2019)</w:t>
            </w:r>
          </w:p>
        </w:tc>
      </w:tr>
      <w:tr w:rsidR="00733861" w:rsidRPr="00211D67" w14:paraId="621573B5"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5D3CAA79" w14:textId="6BE60C86"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Version number of the monitoring report</w:t>
            </w:r>
          </w:p>
        </w:tc>
        <w:tc>
          <w:tcPr>
            <w:tcW w:w="5052" w:type="dxa"/>
          </w:tcPr>
          <w:p w14:paraId="1602384E" w14:textId="0CA168B1" w:rsidR="00733861" w:rsidRPr="00733861" w:rsidRDefault="00324B18"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2</w:t>
            </w:r>
          </w:p>
        </w:tc>
      </w:tr>
      <w:tr w:rsidR="00733861" w:rsidRPr="00211D67" w14:paraId="1753A604"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67A3354C" w14:textId="737B5827" w:rsidR="00733861" w:rsidRPr="00733861" w:rsidRDefault="00733861" w:rsidP="00733861">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 xml:space="preserve">Completion date of the monitoring report </w:t>
            </w:r>
          </w:p>
        </w:tc>
        <w:tc>
          <w:tcPr>
            <w:tcW w:w="5052" w:type="dxa"/>
          </w:tcPr>
          <w:p w14:paraId="4867C2DA" w14:textId="1901216F" w:rsidR="00733861" w:rsidRPr="00733861" w:rsidRDefault="00324B18"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11/10</w:t>
            </w:r>
            <w:r w:rsidR="0056578E">
              <w:rPr>
                <w:rFonts w:asciiTheme="minorHAnsi" w:hAnsiTheme="minorHAnsi"/>
                <w:color w:val="515151" w:themeColor="text1"/>
                <w:sz w:val="20"/>
                <w:szCs w:val="20"/>
                <w:lang w:val="en-GB"/>
              </w:rPr>
              <w:t>/2021</w:t>
            </w:r>
          </w:p>
        </w:tc>
      </w:tr>
      <w:tr w:rsidR="00733861" w:rsidRPr="00211D67" w14:paraId="04B2C3B0"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79759770" w14:textId="5DF1CA86" w:rsidR="00733861" w:rsidRPr="00733861" w:rsidRDefault="00733861" w:rsidP="00733861">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project design certification</w:t>
            </w:r>
          </w:p>
        </w:tc>
        <w:tc>
          <w:tcPr>
            <w:tcW w:w="5052" w:type="dxa"/>
          </w:tcPr>
          <w:p w14:paraId="6BD36749" w14:textId="56CA96F2" w:rsidR="00733861" w:rsidRPr="005A19ED" w:rsidRDefault="005A19ED" w:rsidP="005A19ED">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19/12/2012 </w:t>
            </w:r>
          </w:p>
        </w:tc>
      </w:tr>
      <w:tr w:rsidR="00733861" w:rsidRPr="00211D67" w14:paraId="7BBEF22E"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3859A9BF" w14:textId="1FF36859" w:rsidR="00733861" w:rsidRPr="00733861" w:rsidRDefault="00733861" w:rsidP="00733861">
            <w:pPr>
              <w:spacing w:line="276" w:lineRule="auto"/>
              <w:ind w:left="34"/>
              <w:rPr>
                <w:rFonts w:asciiTheme="minorHAnsi" w:hAnsiTheme="minorHAnsi"/>
                <w:b/>
                <w:bCs w:val="0"/>
                <w:color w:val="FFFFFF" w:themeColor="background1"/>
                <w:lang w:eastAsia="de-DE"/>
              </w:rPr>
            </w:pPr>
            <w:r w:rsidRPr="00733861">
              <w:rPr>
                <w:rFonts w:asciiTheme="minorHAnsi" w:hAnsiTheme="minorHAnsi" w:cs="Arial"/>
                <w:b/>
                <w:bCs w:val="0"/>
                <w:color w:val="FFFFFF" w:themeColor="background1"/>
                <w:sz w:val="20"/>
              </w:rPr>
              <w:t>Date of Last Annual Report</w:t>
            </w:r>
          </w:p>
        </w:tc>
        <w:tc>
          <w:tcPr>
            <w:tcW w:w="5052" w:type="dxa"/>
          </w:tcPr>
          <w:p w14:paraId="15C0D71D" w14:textId="2044FA42" w:rsidR="00733861" w:rsidRPr="00733861" w:rsidRDefault="00967804"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19</w:t>
            </w:r>
            <w:r w:rsidR="00EF75ED">
              <w:rPr>
                <w:rFonts w:asciiTheme="minorHAnsi" w:hAnsiTheme="minorHAnsi"/>
                <w:color w:val="515151" w:themeColor="text1"/>
                <w:sz w:val="20"/>
                <w:szCs w:val="20"/>
                <w:lang w:val="en-GB"/>
              </w:rPr>
              <w:t>/08/2020</w:t>
            </w:r>
          </w:p>
        </w:tc>
      </w:tr>
      <w:tr w:rsidR="00733861" w:rsidRPr="00211D67" w14:paraId="01D60198"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284FC85B" w14:textId="57F6E6DD"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Monitoring period number </w:t>
            </w:r>
          </w:p>
        </w:tc>
        <w:tc>
          <w:tcPr>
            <w:tcW w:w="5052" w:type="dxa"/>
          </w:tcPr>
          <w:p w14:paraId="530DDC90" w14:textId="188D0877" w:rsidR="00733861" w:rsidRPr="00733861" w:rsidRDefault="0056578E"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4</w:t>
            </w:r>
          </w:p>
        </w:tc>
      </w:tr>
      <w:tr w:rsidR="00733861" w:rsidRPr="00211D67" w14:paraId="16E5ED3B"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2596D358" w14:textId="36037F88"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Duration of this monitoring period </w:t>
            </w:r>
          </w:p>
        </w:tc>
        <w:tc>
          <w:tcPr>
            <w:tcW w:w="5052" w:type="dxa"/>
          </w:tcPr>
          <w:p w14:paraId="2BCB5296" w14:textId="7CD598B4" w:rsidR="00733861" w:rsidRPr="00733861" w:rsidRDefault="0056578E"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sz w:val="20"/>
              </w:rPr>
              <w:t>31/12/2018 – 30/12/2020</w:t>
            </w:r>
          </w:p>
        </w:tc>
      </w:tr>
      <w:tr w:rsidR="00733861" w:rsidRPr="00211D67" w14:paraId="12CA5B12"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1778116C" w14:textId="3F4056AE"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 xml:space="preserve">Project Representative </w:t>
            </w:r>
          </w:p>
        </w:tc>
        <w:tc>
          <w:tcPr>
            <w:tcW w:w="5052" w:type="dxa"/>
          </w:tcPr>
          <w:p w14:paraId="5FF9670B" w14:textId="5E4B59DD" w:rsidR="00733861" w:rsidRPr="00733861" w:rsidRDefault="008F5BA4"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r>
              <w:rPr>
                <w:rFonts w:asciiTheme="minorHAnsi" w:hAnsiTheme="minorHAnsi"/>
                <w:color w:val="515151" w:themeColor="text1"/>
                <w:sz w:val="20"/>
                <w:szCs w:val="20"/>
                <w:lang w:val="en-GB"/>
              </w:rPr>
              <w:t>atmosfair GmbH</w:t>
            </w:r>
          </w:p>
        </w:tc>
      </w:tr>
      <w:tr w:rsidR="00733861" w:rsidRPr="00211D67" w14:paraId="36672DB1"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00EA54F0" w14:textId="224A159F"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Host Country</w:t>
            </w:r>
          </w:p>
        </w:tc>
        <w:tc>
          <w:tcPr>
            <w:tcW w:w="5052" w:type="dxa"/>
          </w:tcPr>
          <w:p w14:paraId="6D2A6E43" w14:textId="2D4BCFF2" w:rsidR="00733861" w:rsidRPr="00733861" w:rsidRDefault="008E246B"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s="Arial"/>
                <w:color w:val="515151" w:themeColor="text1"/>
                <w:sz w:val="20"/>
                <w:szCs w:val="20"/>
              </w:rPr>
              <w:t>Kenya</w:t>
            </w:r>
          </w:p>
        </w:tc>
      </w:tr>
      <w:tr w:rsidR="00733861" w:rsidRPr="00211D67" w14:paraId="43616CB0" w14:textId="77777777" w:rsidTr="00733861">
        <w:trPr>
          <w:trHeight w:val="1900"/>
        </w:trPr>
        <w:tc>
          <w:tcPr>
            <w:cnfStyle w:val="001000000000" w:firstRow="0" w:lastRow="0" w:firstColumn="1" w:lastColumn="0" w:oddVBand="0" w:evenVBand="0" w:oddHBand="0" w:evenHBand="0" w:firstRowFirstColumn="0" w:firstRowLastColumn="0" w:lastRowFirstColumn="0" w:lastRowLastColumn="0"/>
            <w:tcW w:w="4390" w:type="dxa"/>
          </w:tcPr>
          <w:p w14:paraId="0F2C4863" w14:textId="77777777" w:rsidR="00733861" w:rsidRPr="00733861" w:rsidRDefault="00733861" w:rsidP="00733861">
            <w:pPr>
              <w:tabs>
                <w:tab w:val="left" w:pos="3536"/>
              </w:tabs>
              <w:spacing w:line="276" w:lineRule="auto"/>
              <w:ind w:left="34"/>
              <w:contextualSpacing w:val="0"/>
              <w:jc w:val="both"/>
              <w:rPr>
                <w:rFonts w:asciiTheme="minorHAnsi" w:hAnsiTheme="minorHAnsi" w:cs="Arial"/>
                <w:b/>
                <w:bCs w:val="0"/>
                <w:color w:val="FFFFFF" w:themeColor="background1"/>
                <w:sz w:val="20"/>
              </w:rPr>
            </w:pPr>
            <w:r w:rsidRPr="00733861">
              <w:rPr>
                <w:rFonts w:asciiTheme="minorHAnsi" w:hAnsiTheme="minorHAnsi" w:cs="Arial"/>
                <w:b/>
                <w:bCs w:val="0"/>
                <w:color w:val="FFFFFF" w:themeColor="background1"/>
                <w:sz w:val="20"/>
              </w:rPr>
              <w:t>Activity Requirements applied</w:t>
            </w:r>
          </w:p>
          <w:p w14:paraId="181E8C4C" w14:textId="77777777" w:rsidR="00733861" w:rsidRPr="00733861" w:rsidRDefault="00733861" w:rsidP="00733861">
            <w:pPr>
              <w:spacing w:line="276" w:lineRule="auto"/>
              <w:ind w:left="34"/>
              <w:rPr>
                <w:rFonts w:asciiTheme="minorHAnsi" w:hAnsiTheme="minorHAnsi"/>
                <w:b/>
                <w:bCs w:val="0"/>
                <w:color w:val="FFFFFF" w:themeColor="background1"/>
              </w:rPr>
            </w:pPr>
          </w:p>
        </w:tc>
        <w:tc>
          <w:tcPr>
            <w:tcW w:w="5052" w:type="dxa"/>
          </w:tcPr>
          <w:p w14:paraId="0F4BE22C" w14:textId="6CC23D02" w:rsidR="00733861" w:rsidRPr="00733861" w:rsidRDefault="005A19ED"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s="Arial"/>
                <w:color w:val="515151" w:themeColor="text1"/>
                <w:sz w:val="20"/>
                <w:szCs w:val="20"/>
              </w:rPr>
              <w:t xml:space="preserve">X </w:t>
            </w:r>
            <w:r w:rsidR="00733861" w:rsidRPr="00733861">
              <w:rPr>
                <w:rFonts w:asciiTheme="minorHAnsi" w:hAnsiTheme="minorHAnsi" w:cs="Arial"/>
                <w:color w:val="515151" w:themeColor="text1"/>
                <w:sz w:val="20"/>
                <w:szCs w:val="20"/>
              </w:rPr>
              <w:t xml:space="preserve">Community Services Activities </w:t>
            </w:r>
          </w:p>
          <w:p w14:paraId="6D307C89" w14:textId="77777777"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8"/>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477CEE">
              <w:rPr>
                <w:rFonts w:asciiTheme="minorHAnsi" w:hAnsiTheme="minorHAnsi" w:cs="Arial"/>
                <w:color w:val="515151" w:themeColor="text1"/>
                <w:sz w:val="20"/>
                <w:szCs w:val="20"/>
              </w:rPr>
            </w:r>
            <w:r w:rsidR="00477CEE">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Renewable Energy Activities </w:t>
            </w:r>
          </w:p>
          <w:p w14:paraId="782689B4" w14:textId="77777777"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9"/>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477CEE">
              <w:rPr>
                <w:rFonts w:asciiTheme="minorHAnsi" w:hAnsiTheme="minorHAnsi" w:cs="Arial"/>
                <w:color w:val="515151" w:themeColor="text1"/>
                <w:sz w:val="20"/>
                <w:szCs w:val="20"/>
              </w:rPr>
            </w:r>
            <w:r w:rsidR="00477CEE">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Land Use and Forestry Activities/Risks &amp; Capacities </w:t>
            </w:r>
          </w:p>
          <w:p w14:paraId="7823F604" w14:textId="78702795"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10"/>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477CEE">
              <w:rPr>
                <w:rFonts w:asciiTheme="minorHAnsi" w:hAnsiTheme="minorHAnsi" w:cs="Arial"/>
                <w:color w:val="515151" w:themeColor="text1"/>
                <w:sz w:val="20"/>
                <w:szCs w:val="20"/>
              </w:rPr>
            </w:r>
            <w:r w:rsidR="00477CEE">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olor w:val="515151" w:themeColor="text1"/>
                <w:sz w:val="20"/>
                <w:szCs w:val="20"/>
              </w:rPr>
              <w:t xml:space="preserve"> </w:t>
            </w:r>
            <w:r w:rsidRPr="00733861">
              <w:rPr>
                <w:rFonts w:asciiTheme="minorHAnsi" w:hAnsiTheme="minorHAnsi" w:cs="Arial"/>
                <w:color w:val="515151" w:themeColor="text1"/>
                <w:sz w:val="20"/>
                <w:szCs w:val="20"/>
              </w:rPr>
              <w:t xml:space="preserve">N/A </w:t>
            </w:r>
          </w:p>
        </w:tc>
      </w:tr>
      <w:tr w:rsidR="00733861" w:rsidRPr="00211D67" w14:paraId="03867CCE" w14:textId="77777777" w:rsidTr="00733861">
        <w:trPr>
          <w:trHeight w:val="693"/>
        </w:trPr>
        <w:tc>
          <w:tcPr>
            <w:cnfStyle w:val="001000000000" w:firstRow="0" w:lastRow="0" w:firstColumn="1" w:lastColumn="0" w:oddVBand="0" w:evenVBand="0" w:oddHBand="0" w:evenHBand="0" w:firstRowFirstColumn="0" w:firstRowLastColumn="0" w:lastRowFirstColumn="0" w:lastRowLastColumn="0"/>
            <w:tcW w:w="4390" w:type="dxa"/>
          </w:tcPr>
          <w:p w14:paraId="795B7019" w14:textId="30E1A65A"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Methodology (ies) applied and version number</w:t>
            </w:r>
          </w:p>
        </w:tc>
        <w:tc>
          <w:tcPr>
            <w:tcW w:w="5052" w:type="dxa"/>
          </w:tcPr>
          <w:p w14:paraId="02824DDD" w14:textId="77777777" w:rsidR="008D5E99" w:rsidRDefault="008D5E99" w:rsidP="008D5E99">
            <w:pPr>
              <w:ind w:left="57"/>
              <w:cnfStyle w:val="000000000000" w:firstRow="0" w:lastRow="0" w:firstColumn="0" w:lastColumn="0" w:oddVBand="0" w:evenVBand="0" w:oddHBand="0" w:evenHBand="0" w:firstRowFirstColumn="0" w:firstRowLastColumn="0" w:lastRowFirstColumn="0" w:lastRowLastColumn="0"/>
              <w:rPr>
                <w:rFonts w:cs="Arial"/>
                <w:sz w:val="20"/>
              </w:rPr>
            </w:pPr>
            <w:r w:rsidRPr="007C7469">
              <w:rPr>
                <w:rFonts w:cs="Arial"/>
                <w:sz w:val="20"/>
              </w:rPr>
              <w:t>Methodology: AMS I.E. (version 04) Switch from Non-Renewable Biomass for Thermal Applications by the User</w:t>
            </w:r>
          </w:p>
          <w:p w14:paraId="603C0777" w14:textId="5BF1BA46" w:rsidR="00733861" w:rsidRPr="00733861" w:rsidRDefault="008D5E99" w:rsidP="008D5E99">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cs="Arial"/>
                <w:sz w:val="20"/>
              </w:rPr>
              <w:t>No standardized baseline applied</w:t>
            </w:r>
          </w:p>
        </w:tc>
      </w:tr>
      <w:tr w:rsidR="00733861" w:rsidRPr="00211D67" w14:paraId="530F8C32" w14:textId="77777777" w:rsidTr="00733861">
        <w:tc>
          <w:tcPr>
            <w:cnfStyle w:val="001000000000" w:firstRow="0" w:lastRow="0" w:firstColumn="1" w:lastColumn="0" w:oddVBand="0" w:evenVBand="0" w:oddHBand="0" w:evenHBand="0" w:firstRowFirstColumn="0" w:firstRowLastColumn="0" w:lastRowFirstColumn="0" w:lastRowLastColumn="0"/>
            <w:tcW w:w="4390" w:type="dxa"/>
          </w:tcPr>
          <w:p w14:paraId="467AFB45" w14:textId="5BB7A0DD" w:rsidR="00733861" w:rsidRPr="00733861" w:rsidRDefault="00733861" w:rsidP="00733861">
            <w:pPr>
              <w:spacing w:line="276" w:lineRule="auto"/>
              <w:ind w:left="34"/>
              <w:rPr>
                <w:rFonts w:asciiTheme="minorHAnsi" w:hAnsiTheme="minorHAnsi"/>
                <w:b/>
                <w:bCs w:val="0"/>
                <w:color w:val="FFFFFF" w:themeColor="background1"/>
              </w:rPr>
            </w:pPr>
            <w:r w:rsidRPr="00733861">
              <w:rPr>
                <w:rFonts w:asciiTheme="minorHAnsi" w:hAnsiTheme="minorHAnsi" w:cs="Arial"/>
                <w:b/>
                <w:bCs w:val="0"/>
                <w:color w:val="FFFFFF" w:themeColor="background1"/>
                <w:sz w:val="20"/>
              </w:rPr>
              <w:t>Product Requirements applied</w:t>
            </w:r>
          </w:p>
        </w:tc>
        <w:tc>
          <w:tcPr>
            <w:tcW w:w="5052" w:type="dxa"/>
          </w:tcPr>
          <w:p w14:paraId="677BA52C" w14:textId="53E2FE39" w:rsidR="00733861" w:rsidRPr="00733861" w:rsidRDefault="005A19ED"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Pr>
                <w:rFonts w:asciiTheme="minorHAnsi" w:hAnsiTheme="minorHAnsi"/>
                <w:color w:val="515151" w:themeColor="text1"/>
                <w:sz w:val="20"/>
                <w:szCs w:val="20"/>
              </w:rPr>
              <w:t xml:space="preserve">X </w:t>
            </w:r>
            <w:r w:rsidR="00733861" w:rsidRPr="00733861">
              <w:rPr>
                <w:rFonts w:asciiTheme="minorHAnsi" w:hAnsiTheme="minorHAnsi" w:cs="Arial"/>
                <w:color w:val="515151" w:themeColor="text1"/>
                <w:sz w:val="20"/>
                <w:szCs w:val="20"/>
              </w:rPr>
              <w:t xml:space="preserve">GHG Emissions Reduction &amp; Sequestration </w:t>
            </w:r>
          </w:p>
          <w:p w14:paraId="0D7C6F6A" w14:textId="77777777" w:rsidR="00733861" w:rsidRPr="00733861" w:rsidRDefault="00733861" w:rsidP="00733861">
            <w:pP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fldChar w:fldCharType="begin">
                <w:ffData>
                  <w:name w:val="Check5"/>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477CEE">
              <w:rPr>
                <w:rFonts w:asciiTheme="minorHAnsi" w:hAnsiTheme="minorHAnsi" w:cs="Arial"/>
                <w:color w:val="515151" w:themeColor="text1"/>
                <w:sz w:val="20"/>
                <w:szCs w:val="20"/>
              </w:rPr>
            </w:r>
            <w:r w:rsidR="00477CEE">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Renewable Energy Label </w:t>
            </w:r>
          </w:p>
          <w:p w14:paraId="21527E79" w14:textId="79CAF498" w:rsidR="00733861" w:rsidRPr="00733861" w:rsidRDefault="00733861" w:rsidP="00733861">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r w:rsidRPr="00733861">
              <w:rPr>
                <w:rFonts w:asciiTheme="minorHAnsi" w:hAnsiTheme="minorHAnsi" w:cs="Arial"/>
                <w:color w:val="515151" w:themeColor="text1"/>
                <w:sz w:val="20"/>
                <w:szCs w:val="20"/>
              </w:rPr>
              <w:lastRenderedPageBreak/>
              <w:fldChar w:fldCharType="begin">
                <w:ffData>
                  <w:name w:val="Check6"/>
                  <w:enabled/>
                  <w:calcOnExit w:val="0"/>
                  <w:checkBox>
                    <w:sizeAuto/>
                    <w:default w:val="0"/>
                  </w:checkBox>
                </w:ffData>
              </w:fldChar>
            </w:r>
            <w:r w:rsidRPr="00733861">
              <w:rPr>
                <w:rFonts w:asciiTheme="minorHAnsi" w:hAnsiTheme="minorHAnsi" w:cs="Arial"/>
                <w:color w:val="515151" w:themeColor="text1"/>
                <w:sz w:val="20"/>
                <w:szCs w:val="20"/>
              </w:rPr>
              <w:instrText xml:space="preserve"> FORMCHECKBOX </w:instrText>
            </w:r>
            <w:r w:rsidR="00477CEE">
              <w:rPr>
                <w:rFonts w:asciiTheme="minorHAnsi" w:hAnsiTheme="minorHAnsi" w:cs="Arial"/>
                <w:color w:val="515151" w:themeColor="text1"/>
                <w:sz w:val="20"/>
                <w:szCs w:val="20"/>
              </w:rPr>
            </w:r>
            <w:r w:rsidR="00477CEE">
              <w:rPr>
                <w:rFonts w:asciiTheme="minorHAnsi" w:hAnsiTheme="minorHAnsi" w:cs="Arial"/>
                <w:color w:val="515151" w:themeColor="text1"/>
                <w:sz w:val="20"/>
                <w:szCs w:val="20"/>
              </w:rPr>
              <w:fldChar w:fldCharType="separate"/>
            </w:r>
            <w:r w:rsidRPr="00733861">
              <w:rPr>
                <w:rFonts w:asciiTheme="minorHAnsi" w:hAnsiTheme="minorHAnsi" w:cs="Arial"/>
                <w:color w:val="515151" w:themeColor="text1"/>
                <w:sz w:val="20"/>
                <w:szCs w:val="20"/>
              </w:rPr>
              <w:fldChar w:fldCharType="end"/>
            </w:r>
            <w:r w:rsidRPr="00733861">
              <w:rPr>
                <w:rFonts w:asciiTheme="minorHAnsi" w:hAnsiTheme="minorHAnsi" w:cs="Arial"/>
                <w:color w:val="515151" w:themeColor="text1"/>
                <w:sz w:val="20"/>
                <w:szCs w:val="20"/>
              </w:rPr>
              <w:t xml:space="preserve"> N/A </w:t>
            </w:r>
          </w:p>
        </w:tc>
      </w:tr>
    </w:tbl>
    <w:p w14:paraId="7AF982F4" w14:textId="77777777" w:rsidR="00816579" w:rsidRPr="00816579" w:rsidRDefault="00816579" w:rsidP="00816579">
      <w:pPr>
        <w:pStyle w:val="Heading5"/>
        <w:rPr>
          <w:lang w:val="en-GB"/>
        </w:rPr>
      </w:pPr>
      <w:r w:rsidRPr="00816579">
        <w:rPr>
          <w:lang w:val="en-GB"/>
        </w:rPr>
        <w:lastRenderedPageBreak/>
        <w:t xml:space="preserve">Table </w:t>
      </w:r>
      <w:r w:rsidRPr="00816579">
        <w:rPr>
          <w:lang w:val="en-GB"/>
        </w:rPr>
        <w:fldChar w:fldCharType="begin"/>
      </w:r>
      <w:r w:rsidRPr="00816579">
        <w:rPr>
          <w:lang w:val="en-GB"/>
        </w:rPr>
        <w:instrText xml:space="preserve"> SEQ Table \* ARABIC </w:instrText>
      </w:r>
      <w:r w:rsidRPr="00816579">
        <w:rPr>
          <w:lang w:val="en-GB"/>
        </w:rPr>
        <w:fldChar w:fldCharType="separate"/>
      </w:r>
      <w:r w:rsidRPr="00816579">
        <w:rPr>
          <w:lang w:val="en-GB"/>
        </w:rPr>
        <w:t>1</w:t>
      </w:r>
      <w:r w:rsidRPr="00816579">
        <w:rPr>
          <w:lang w:val="en-GB"/>
        </w:rPr>
        <w:fldChar w:fldCharType="end"/>
      </w:r>
      <w:r w:rsidRPr="00816579">
        <w:rPr>
          <w:lang w:val="en-GB"/>
        </w:rPr>
        <w:t xml:space="preserve"> - Sustainable Development Contributions Achieved</w:t>
      </w:r>
    </w:p>
    <w:tbl>
      <w:tblPr>
        <w:tblStyle w:val="GSTableBoldline-heightcondensed"/>
        <w:tblW w:w="5000" w:type="pct"/>
        <w:tblLayout w:type="fixed"/>
        <w:tblCellMar>
          <w:top w:w="57" w:type="dxa"/>
          <w:left w:w="57" w:type="dxa"/>
        </w:tblCellMar>
        <w:tblLook w:val="0620" w:firstRow="1" w:lastRow="0" w:firstColumn="0" w:lastColumn="0" w:noHBand="1" w:noVBand="1"/>
      </w:tblPr>
      <w:tblGrid>
        <w:gridCol w:w="2389"/>
        <w:gridCol w:w="2714"/>
        <w:gridCol w:w="2976"/>
        <w:gridCol w:w="1553"/>
      </w:tblGrid>
      <w:tr w:rsidR="00816579" w:rsidRPr="00A313BE" w14:paraId="7B866D22" w14:textId="77777777" w:rsidTr="00A55140">
        <w:trPr>
          <w:cnfStyle w:val="100000000000" w:firstRow="1" w:lastRow="0" w:firstColumn="0" w:lastColumn="0" w:oddVBand="0" w:evenVBand="0" w:oddHBand="0" w:evenHBand="0" w:firstRowFirstColumn="0" w:firstRowLastColumn="0" w:lastRowFirstColumn="0" w:lastRowLastColumn="0"/>
          <w:trHeight w:val="1035"/>
        </w:trPr>
        <w:tc>
          <w:tcPr>
            <w:tcW w:w="1240" w:type="pct"/>
            <w:vAlign w:val="top"/>
          </w:tcPr>
          <w:p w14:paraId="02B4C417" w14:textId="096D86B6"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Sustainable Development Goals Targeted</w:t>
            </w:r>
          </w:p>
        </w:tc>
        <w:tc>
          <w:tcPr>
            <w:tcW w:w="1409" w:type="pct"/>
            <w:vAlign w:val="top"/>
          </w:tcPr>
          <w:p w14:paraId="6BD36A50" w14:textId="4872727A"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 xml:space="preserve">SDG Impact </w:t>
            </w:r>
          </w:p>
        </w:tc>
        <w:tc>
          <w:tcPr>
            <w:tcW w:w="1545" w:type="pct"/>
            <w:vAlign w:val="top"/>
          </w:tcPr>
          <w:p w14:paraId="43282030" w14:textId="01D5B9AF"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Amount Achieved</w:t>
            </w:r>
          </w:p>
        </w:tc>
        <w:tc>
          <w:tcPr>
            <w:tcW w:w="806" w:type="pct"/>
            <w:vAlign w:val="top"/>
          </w:tcPr>
          <w:p w14:paraId="28A2759A" w14:textId="2A3B0CE1" w:rsidR="00816579" w:rsidRPr="00816579" w:rsidRDefault="00816579" w:rsidP="00816579">
            <w:pPr>
              <w:spacing w:line="276" w:lineRule="auto"/>
              <w:rPr>
                <w:rFonts w:asciiTheme="minorHAnsi" w:hAnsiTheme="minorHAnsi"/>
                <w:color w:val="FFFFFF" w:themeColor="background1"/>
                <w:szCs w:val="22"/>
              </w:rPr>
            </w:pPr>
            <w:r w:rsidRPr="00816579">
              <w:rPr>
                <w:rFonts w:asciiTheme="minorHAnsi" w:hAnsiTheme="minorHAnsi" w:cs="Arial"/>
                <w:color w:val="FFFFFF" w:themeColor="background1"/>
                <w:szCs w:val="22"/>
              </w:rPr>
              <w:t>Units/ Products</w:t>
            </w:r>
          </w:p>
        </w:tc>
      </w:tr>
      <w:tr w:rsidR="00AD5CDE" w:rsidRPr="00181354" w14:paraId="76C7F427" w14:textId="77777777" w:rsidTr="00A55140">
        <w:trPr>
          <w:trHeight w:val="454"/>
        </w:trPr>
        <w:tc>
          <w:tcPr>
            <w:tcW w:w="1240" w:type="pct"/>
            <w:vAlign w:val="top"/>
          </w:tcPr>
          <w:p w14:paraId="0C7AF532" w14:textId="77777777" w:rsidR="00903871" w:rsidRPr="00B657AF" w:rsidRDefault="00903871" w:rsidP="00903871">
            <w:pPr>
              <w:pStyle w:val="Default"/>
              <w:rPr>
                <w:color w:val="515151" w:themeColor="text1"/>
              </w:rPr>
            </w:pPr>
            <w:r w:rsidRPr="00B657AF">
              <w:rPr>
                <w:color w:val="515151" w:themeColor="text1"/>
              </w:rPr>
              <w:t xml:space="preserve">Goal 3, Target 3.9: Reduction of indoor air pollution </w:t>
            </w:r>
          </w:p>
          <w:p w14:paraId="5E6D6A71" w14:textId="77777777" w:rsidR="00816579" w:rsidRPr="00B657AF" w:rsidRDefault="00816579" w:rsidP="00816579">
            <w:pPr>
              <w:spacing w:line="276" w:lineRule="auto"/>
              <w:rPr>
                <w:rFonts w:asciiTheme="minorHAnsi" w:hAnsiTheme="minorHAnsi" w:cs="Arial"/>
                <w:color w:val="515151" w:themeColor="text1"/>
                <w:szCs w:val="22"/>
                <w:lang w:val="en-GB"/>
              </w:rPr>
            </w:pPr>
          </w:p>
        </w:tc>
        <w:tc>
          <w:tcPr>
            <w:tcW w:w="1409" w:type="pct"/>
            <w:vAlign w:val="top"/>
          </w:tcPr>
          <w:p w14:paraId="360EE1DA" w14:textId="66A5421F" w:rsidR="00AD5CDE" w:rsidRPr="00B657AF" w:rsidRDefault="00AD5CDE" w:rsidP="00AD5CDE">
            <w:pPr>
              <w:pStyle w:val="Default"/>
              <w:rPr>
                <w:color w:val="515151" w:themeColor="text1"/>
              </w:rPr>
            </w:pPr>
            <w:r w:rsidRPr="00B657AF">
              <w:rPr>
                <w:color w:val="515151" w:themeColor="text1"/>
              </w:rPr>
              <w:t xml:space="preserve">Biogas owners are asked how air quality in the kitchen has changed since using biogas, whether they experienced respiratory problems before using the biogas unit and, if yes, whether they have perceived an improvement as a result of cooking with biogas. </w:t>
            </w:r>
          </w:p>
          <w:p w14:paraId="26996351" w14:textId="77777777" w:rsidR="00816579" w:rsidRPr="00B657AF" w:rsidRDefault="00816579" w:rsidP="00816579">
            <w:pPr>
              <w:spacing w:line="276" w:lineRule="auto"/>
              <w:rPr>
                <w:rFonts w:cs="Verdana"/>
                <w:color w:val="515151" w:themeColor="text1"/>
                <w:sz w:val="20"/>
                <w:lang w:val="en-GB"/>
                <w14:cntxtAlts w14:val="0"/>
              </w:rPr>
            </w:pPr>
          </w:p>
        </w:tc>
        <w:tc>
          <w:tcPr>
            <w:tcW w:w="1545" w:type="pct"/>
            <w:vAlign w:val="top"/>
          </w:tcPr>
          <w:p w14:paraId="6583F456" w14:textId="714DA6B9" w:rsidR="00816579" w:rsidRPr="00B657AF" w:rsidRDefault="00EA6A5B" w:rsidP="00E07E82">
            <w:pPr>
              <w:spacing w:line="276" w:lineRule="auto"/>
              <w:rPr>
                <w:rFonts w:cs="Verdana"/>
                <w:color w:val="515151" w:themeColor="text1"/>
                <w:sz w:val="20"/>
                <w:lang w:val="en-GB"/>
                <w14:cntxtAlts w14:val="0"/>
              </w:rPr>
            </w:pPr>
            <w:r w:rsidRPr="00362EE5">
              <w:rPr>
                <w:rFonts w:asciiTheme="minorHAnsi" w:hAnsiTheme="minorHAnsi"/>
                <w:sz w:val="20"/>
              </w:rPr>
              <w:t>91</w:t>
            </w:r>
            <w:r>
              <w:rPr>
                <w:rFonts w:asciiTheme="minorHAnsi" w:hAnsiTheme="minorHAnsi"/>
              </w:rPr>
              <w:t>%</w:t>
            </w:r>
            <w:r>
              <w:rPr>
                <w:rStyle w:val="FootnoteReference"/>
                <w:rFonts w:asciiTheme="minorHAnsi" w:hAnsiTheme="minorHAnsi"/>
              </w:rPr>
              <w:footnoteReference w:id="1"/>
            </w:r>
            <w:r>
              <w:rPr>
                <w:rFonts w:asciiTheme="minorHAnsi" w:hAnsiTheme="minorHAnsi"/>
              </w:rPr>
              <w:t xml:space="preserve"> </w:t>
            </w:r>
            <w:r w:rsidR="00E07E82">
              <w:rPr>
                <w:rFonts w:cs="Verdana"/>
                <w:color w:val="515151" w:themeColor="text1"/>
                <w:sz w:val="20"/>
                <w:lang w:val="en-GB"/>
                <w14:cntxtAlts w14:val="0"/>
              </w:rPr>
              <w:t xml:space="preserve">improvement of air quality and </w:t>
            </w:r>
            <w:r w:rsidR="00E07E82" w:rsidRPr="00E07E82">
              <w:rPr>
                <w:rFonts w:cs="Verdana"/>
                <w:color w:val="515151" w:themeColor="text1"/>
                <w:sz w:val="20"/>
                <w:lang w:val="en-GB"/>
                <w14:cntxtAlts w14:val="0"/>
              </w:rPr>
              <w:t xml:space="preserve">100% improvement of respiratory problems </w:t>
            </w:r>
            <w:r w:rsidR="00AD5CDE" w:rsidRPr="00B657AF">
              <w:rPr>
                <w:rFonts w:cs="Verdana"/>
                <w:color w:val="515151" w:themeColor="text1"/>
                <w:sz w:val="20"/>
                <w:lang w:val="en-GB"/>
                <w14:cntxtAlts w14:val="0"/>
              </w:rPr>
              <w:t>as a result of cooking with biogas</w:t>
            </w:r>
          </w:p>
        </w:tc>
        <w:tc>
          <w:tcPr>
            <w:tcW w:w="806" w:type="pct"/>
            <w:vAlign w:val="top"/>
          </w:tcPr>
          <w:p w14:paraId="12418640" w14:textId="177D534C" w:rsidR="00816579" w:rsidRPr="00B657AF" w:rsidRDefault="00AD5CDE" w:rsidP="00816579">
            <w:pPr>
              <w:spacing w:line="276" w:lineRule="auto"/>
              <w:rPr>
                <w:rFonts w:cs="Verdana"/>
                <w:color w:val="515151" w:themeColor="text1"/>
                <w:sz w:val="20"/>
                <w:lang w:val="en-GB"/>
                <w14:cntxtAlts w14:val="0"/>
              </w:rPr>
            </w:pPr>
            <w:r w:rsidRPr="00B657AF">
              <w:rPr>
                <w:rFonts w:cs="Verdana"/>
                <w:color w:val="515151" w:themeColor="text1"/>
                <w:sz w:val="20"/>
                <w:lang w:val="en-GB"/>
                <w14:cntxtAlts w14:val="0"/>
              </w:rPr>
              <w:t>People interviewed</w:t>
            </w:r>
          </w:p>
        </w:tc>
      </w:tr>
      <w:tr w:rsidR="00181354" w:rsidRPr="00181354" w14:paraId="49B3EB93" w14:textId="77777777" w:rsidTr="00A55140">
        <w:trPr>
          <w:trHeight w:val="454"/>
        </w:trPr>
        <w:tc>
          <w:tcPr>
            <w:tcW w:w="1240" w:type="pct"/>
            <w:tcBorders>
              <w:bottom w:val="single" w:sz="4" w:space="0" w:color="A6A6A6" w:themeColor="background1" w:themeShade="A6"/>
            </w:tcBorders>
            <w:vAlign w:val="top"/>
          </w:tcPr>
          <w:p w14:paraId="0640943A" w14:textId="565720BB" w:rsidR="00AD5CDE" w:rsidRPr="00B657AF" w:rsidRDefault="00AD5CDE" w:rsidP="00AD5CDE">
            <w:pPr>
              <w:pStyle w:val="Default"/>
              <w:rPr>
                <w:color w:val="515151" w:themeColor="text1"/>
                <w:szCs w:val="20"/>
              </w:rPr>
            </w:pPr>
            <w:r w:rsidRPr="00B657AF">
              <w:rPr>
                <w:color w:val="515151" w:themeColor="text1"/>
                <w:szCs w:val="20"/>
              </w:rPr>
              <w:t>Goal 7, Target 7.1: Availability of affordable and clean energy</w:t>
            </w:r>
          </w:p>
          <w:p w14:paraId="28C69A01" w14:textId="77777777" w:rsidR="00816579" w:rsidRPr="00B657AF" w:rsidRDefault="00816579" w:rsidP="00816579">
            <w:pPr>
              <w:spacing w:line="276" w:lineRule="auto"/>
              <w:rPr>
                <w:rFonts w:asciiTheme="minorHAnsi" w:hAnsiTheme="minorHAnsi" w:cs="Arial"/>
                <w:color w:val="515151" w:themeColor="text1"/>
                <w:szCs w:val="22"/>
                <w:lang w:val="en-GB"/>
              </w:rPr>
            </w:pPr>
          </w:p>
        </w:tc>
        <w:tc>
          <w:tcPr>
            <w:tcW w:w="1409" w:type="pct"/>
            <w:tcBorders>
              <w:bottom w:val="single" w:sz="4" w:space="0" w:color="A6A6A6" w:themeColor="background1" w:themeShade="A6"/>
            </w:tcBorders>
            <w:vAlign w:val="top"/>
          </w:tcPr>
          <w:p w14:paraId="660ED08F" w14:textId="53245D4E" w:rsidR="00816579" w:rsidRPr="00B657AF" w:rsidRDefault="00B84518" w:rsidP="00181354">
            <w:pPr>
              <w:pStyle w:val="Default"/>
              <w:rPr>
                <w:color w:val="515151" w:themeColor="text1"/>
              </w:rPr>
            </w:pPr>
            <w:r>
              <w:rPr>
                <w:color w:val="515151" w:themeColor="text1"/>
              </w:rPr>
              <w:t xml:space="preserve">Biogas users </w:t>
            </w:r>
            <w:r w:rsidR="00AD5CDE" w:rsidRPr="00B657AF">
              <w:rPr>
                <w:color w:val="515151" w:themeColor="text1"/>
              </w:rPr>
              <w:t>primary rely on biogas which is a clean fuel and technology</w:t>
            </w:r>
          </w:p>
        </w:tc>
        <w:tc>
          <w:tcPr>
            <w:tcW w:w="1545" w:type="pct"/>
            <w:tcBorders>
              <w:bottom w:val="single" w:sz="4" w:space="0" w:color="A6A6A6" w:themeColor="background1" w:themeShade="A6"/>
            </w:tcBorders>
            <w:vAlign w:val="top"/>
          </w:tcPr>
          <w:p w14:paraId="6163E0A1" w14:textId="7CC62B1C" w:rsidR="00AD5CDE" w:rsidRPr="00B657AF" w:rsidRDefault="003D3170" w:rsidP="003D3170">
            <w:pPr>
              <w:pStyle w:val="Default"/>
              <w:rPr>
                <w:color w:val="515151" w:themeColor="text1"/>
              </w:rPr>
            </w:pPr>
            <w:r>
              <w:rPr>
                <w:color w:val="515151" w:themeColor="text1"/>
              </w:rPr>
              <w:t>2.641</w:t>
            </w:r>
          </w:p>
        </w:tc>
        <w:tc>
          <w:tcPr>
            <w:tcW w:w="806" w:type="pct"/>
            <w:tcBorders>
              <w:bottom w:val="single" w:sz="4" w:space="0" w:color="A6A6A6" w:themeColor="background1" w:themeShade="A6"/>
            </w:tcBorders>
            <w:vAlign w:val="top"/>
          </w:tcPr>
          <w:p w14:paraId="4FAD62CB" w14:textId="285D2C80" w:rsidR="00AD5CDE" w:rsidRPr="00B657AF" w:rsidRDefault="00AD5CDE" w:rsidP="00181354">
            <w:pPr>
              <w:pStyle w:val="Default"/>
              <w:rPr>
                <w:color w:val="515151" w:themeColor="text1"/>
              </w:rPr>
            </w:pPr>
            <w:r w:rsidRPr="00B657AF">
              <w:rPr>
                <w:color w:val="515151" w:themeColor="text1"/>
              </w:rPr>
              <w:t>MW, installed</w:t>
            </w:r>
            <w:r w:rsidR="00181354" w:rsidRPr="00B657AF">
              <w:rPr>
                <w:color w:val="515151" w:themeColor="text1"/>
              </w:rPr>
              <w:t xml:space="preserve"> thermal capacity</w:t>
            </w:r>
            <w:r w:rsidRPr="00B657AF">
              <w:rPr>
                <w:color w:val="515151" w:themeColor="text1"/>
              </w:rPr>
              <w:t xml:space="preserve"> </w:t>
            </w:r>
            <w:r w:rsidR="00181354" w:rsidRPr="00B657AF">
              <w:rPr>
                <w:color w:val="515151" w:themeColor="text1"/>
              </w:rPr>
              <w:t xml:space="preserve"> </w:t>
            </w:r>
          </w:p>
        </w:tc>
      </w:tr>
      <w:tr w:rsidR="00D67D71" w:rsidRPr="00181354" w14:paraId="1B2170CB" w14:textId="77777777" w:rsidTr="00A55140">
        <w:trPr>
          <w:trHeight w:val="454"/>
        </w:trPr>
        <w:tc>
          <w:tcPr>
            <w:tcW w:w="1240" w:type="pct"/>
            <w:tcBorders>
              <w:top w:val="single" w:sz="4" w:space="0" w:color="A6A6A6" w:themeColor="background1" w:themeShade="A6"/>
              <w:bottom w:val="single" w:sz="4" w:space="0" w:color="A6A6A6" w:themeColor="background1" w:themeShade="A6"/>
            </w:tcBorders>
            <w:vAlign w:val="top"/>
          </w:tcPr>
          <w:p w14:paraId="04EA2C27" w14:textId="77777777" w:rsidR="00D67D71" w:rsidRPr="00301BEC" w:rsidRDefault="00D67D71" w:rsidP="00181354">
            <w:pPr>
              <w:pStyle w:val="Default"/>
              <w:rPr>
                <w:color w:val="515151" w:themeColor="text1"/>
              </w:rPr>
            </w:pPr>
            <w:r w:rsidRPr="00301BEC">
              <w:rPr>
                <w:color w:val="515151" w:themeColor="text1"/>
              </w:rPr>
              <w:t xml:space="preserve">Goal 8, Target 8.5 </w:t>
            </w:r>
          </w:p>
          <w:p w14:paraId="68A4DD68" w14:textId="3905CA89" w:rsidR="00D67D71" w:rsidRPr="00301BEC" w:rsidRDefault="00D67D71" w:rsidP="00816579">
            <w:pPr>
              <w:spacing w:line="276" w:lineRule="auto"/>
              <w:rPr>
                <w:rFonts w:cs="Verdana"/>
                <w:color w:val="515151" w:themeColor="text1"/>
                <w:sz w:val="20"/>
                <w:lang w:val="en-GB"/>
                <w14:cntxtAlts w14:val="0"/>
              </w:rPr>
            </w:pPr>
            <w:r w:rsidRPr="00301BEC">
              <w:rPr>
                <w:rFonts w:cs="Verdana"/>
                <w:color w:val="515151" w:themeColor="text1"/>
                <w:sz w:val="20"/>
                <w:lang w:val="en-GB"/>
                <w14:cntxtAlts w14:val="0"/>
              </w:rPr>
              <w:t>Achieve decent work and employment</w:t>
            </w:r>
          </w:p>
        </w:tc>
        <w:tc>
          <w:tcPr>
            <w:tcW w:w="1409" w:type="pct"/>
            <w:tcBorders>
              <w:top w:val="single" w:sz="4" w:space="0" w:color="A6A6A6" w:themeColor="background1" w:themeShade="A6"/>
              <w:bottom w:val="single" w:sz="4" w:space="0" w:color="A6A6A6" w:themeColor="background1" w:themeShade="A6"/>
            </w:tcBorders>
            <w:vAlign w:val="top"/>
          </w:tcPr>
          <w:p w14:paraId="17CECB21" w14:textId="53B78511" w:rsidR="00D67D71" w:rsidRPr="00301BEC" w:rsidRDefault="00D67D71" w:rsidP="00181354">
            <w:pPr>
              <w:pStyle w:val="Default"/>
              <w:rPr>
                <w:color w:val="515151" w:themeColor="text1"/>
              </w:rPr>
            </w:pPr>
            <w:r w:rsidRPr="00301BEC">
              <w:rPr>
                <w:color w:val="515151" w:themeColor="text1"/>
              </w:rPr>
              <w:t>Increased employment rates and income generation of masons, supervisors and unskilled labor</w:t>
            </w:r>
          </w:p>
        </w:tc>
        <w:tc>
          <w:tcPr>
            <w:tcW w:w="1545" w:type="pct"/>
            <w:tcBorders>
              <w:top w:val="single" w:sz="4" w:space="0" w:color="A6A6A6" w:themeColor="background1" w:themeShade="A6"/>
              <w:bottom w:val="single" w:sz="4" w:space="0" w:color="A6A6A6" w:themeColor="background1" w:themeShade="A6"/>
            </w:tcBorders>
            <w:vAlign w:val="top"/>
          </w:tcPr>
          <w:p w14:paraId="73537D7D" w14:textId="7EDB7E49" w:rsidR="00D67D71" w:rsidRPr="00301BEC" w:rsidRDefault="002502DD" w:rsidP="00181354">
            <w:pPr>
              <w:pStyle w:val="Default"/>
              <w:rPr>
                <w:color w:val="515151" w:themeColor="text1"/>
              </w:rPr>
            </w:pPr>
            <w:r w:rsidRPr="00301BEC">
              <w:rPr>
                <w:color w:val="515151" w:themeColor="text1"/>
              </w:rPr>
              <w:t>40</w:t>
            </w:r>
          </w:p>
        </w:tc>
        <w:tc>
          <w:tcPr>
            <w:tcW w:w="806" w:type="pct"/>
            <w:tcBorders>
              <w:top w:val="single" w:sz="4" w:space="0" w:color="A6A6A6" w:themeColor="background1" w:themeShade="A6"/>
              <w:bottom w:val="single" w:sz="4" w:space="0" w:color="A6A6A6" w:themeColor="background1" w:themeShade="A6"/>
            </w:tcBorders>
            <w:vAlign w:val="top"/>
          </w:tcPr>
          <w:p w14:paraId="225F4064" w14:textId="7CCFDEFD" w:rsidR="001577AB" w:rsidRPr="00301BEC" w:rsidRDefault="00D67D71" w:rsidP="00181354">
            <w:pPr>
              <w:pStyle w:val="Default"/>
              <w:rPr>
                <w:color w:val="515151" w:themeColor="text1"/>
              </w:rPr>
            </w:pPr>
            <w:r w:rsidRPr="00301BEC">
              <w:rPr>
                <w:color w:val="515151" w:themeColor="text1"/>
              </w:rPr>
              <w:t>People working for SES in MP</w:t>
            </w:r>
          </w:p>
          <w:p w14:paraId="65020FB5" w14:textId="54C2247B" w:rsidR="002502DD" w:rsidRPr="00301BEC" w:rsidRDefault="002502DD" w:rsidP="00181354">
            <w:pPr>
              <w:pStyle w:val="Default"/>
              <w:rPr>
                <w:color w:val="515151" w:themeColor="text1"/>
              </w:rPr>
            </w:pPr>
          </w:p>
        </w:tc>
      </w:tr>
      <w:tr w:rsidR="00D67D71" w:rsidRPr="00181354" w14:paraId="15CA536E" w14:textId="77777777" w:rsidTr="00A55140">
        <w:trPr>
          <w:trHeight w:val="454"/>
        </w:trPr>
        <w:tc>
          <w:tcPr>
            <w:tcW w:w="1240" w:type="pct"/>
            <w:tcBorders>
              <w:top w:val="single" w:sz="4" w:space="0" w:color="A6A6A6" w:themeColor="background1" w:themeShade="A6"/>
              <w:bottom w:val="single" w:sz="4" w:space="0" w:color="A6A6A6" w:themeColor="background1" w:themeShade="A6"/>
            </w:tcBorders>
            <w:vAlign w:val="top"/>
          </w:tcPr>
          <w:p w14:paraId="425D5BC5" w14:textId="6CB6F091" w:rsidR="00D67D71" w:rsidRPr="00301BEC" w:rsidRDefault="00D67D71" w:rsidP="00181354">
            <w:pPr>
              <w:pStyle w:val="Default"/>
              <w:rPr>
                <w:color w:val="515151" w:themeColor="text1"/>
              </w:rPr>
            </w:pPr>
            <w:r w:rsidRPr="00301BEC">
              <w:rPr>
                <w:color w:val="515151" w:themeColor="text1"/>
              </w:rPr>
              <w:t>Goal 13, Target 13.2: Reduction of GHG emissions</w:t>
            </w:r>
          </w:p>
        </w:tc>
        <w:tc>
          <w:tcPr>
            <w:tcW w:w="1409" w:type="pct"/>
            <w:tcBorders>
              <w:top w:val="single" w:sz="4" w:space="0" w:color="A6A6A6" w:themeColor="background1" w:themeShade="A6"/>
              <w:bottom w:val="single" w:sz="4" w:space="0" w:color="A6A6A6" w:themeColor="background1" w:themeShade="A6"/>
            </w:tcBorders>
            <w:vAlign w:val="top"/>
          </w:tcPr>
          <w:p w14:paraId="12966E55" w14:textId="78C088AB" w:rsidR="00D67D71" w:rsidRPr="00301BEC" w:rsidRDefault="00D67D71" w:rsidP="00181354">
            <w:pPr>
              <w:pStyle w:val="Default"/>
              <w:rPr>
                <w:color w:val="515151" w:themeColor="text1"/>
              </w:rPr>
            </w:pPr>
            <w:r w:rsidRPr="00301BEC">
              <w:rPr>
                <w:color w:val="515151" w:themeColor="text1"/>
              </w:rPr>
              <w:t>Emission Reductions</w:t>
            </w:r>
          </w:p>
        </w:tc>
        <w:tc>
          <w:tcPr>
            <w:tcW w:w="1545" w:type="pct"/>
            <w:tcBorders>
              <w:top w:val="single" w:sz="4" w:space="0" w:color="A6A6A6" w:themeColor="background1" w:themeShade="A6"/>
              <w:bottom w:val="single" w:sz="4" w:space="0" w:color="A6A6A6" w:themeColor="background1" w:themeShade="A6"/>
            </w:tcBorders>
            <w:vAlign w:val="top"/>
          </w:tcPr>
          <w:p w14:paraId="30137D95" w14:textId="00BC4AB1" w:rsidR="00D67D71" w:rsidRPr="00301BEC" w:rsidRDefault="00D67D71" w:rsidP="00181354">
            <w:pPr>
              <w:pStyle w:val="Default"/>
              <w:rPr>
                <w:color w:val="515151" w:themeColor="text1"/>
              </w:rPr>
            </w:pPr>
            <w:r w:rsidRPr="00301BEC">
              <w:rPr>
                <w:color w:val="515151" w:themeColor="text1"/>
              </w:rPr>
              <w:t>7,4</w:t>
            </w:r>
            <w:r w:rsidR="00E85DD5">
              <w:rPr>
                <w:color w:val="515151" w:themeColor="text1"/>
              </w:rPr>
              <w:t>19</w:t>
            </w:r>
          </w:p>
        </w:tc>
        <w:tc>
          <w:tcPr>
            <w:tcW w:w="806" w:type="pct"/>
            <w:tcBorders>
              <w:top w:val="single" w:sz="4" w:space="0" w:color="A6A6A6" w:themeColor="background1" w:themeShade="A6"/>
              <w:bottom w:val="single" w:sz="4" w:space="0" w:color="A6A6A6" w:themeColor="background1" w:themeShade="A6"/>
            </w:tcBorders>
            <w:vAlign w:val="top"/>
          </w:tcPr>
          <w:p w14:paraId="76C59AA3" w14:textId="3AFFEF57" w:rsidR="00D67D71" w:rsidRPr="00301BEC" w:rsidRDefault="00D67D71" w:rsidP="00181354">
            <w:pPr>
              <w:pStyle w:val="Default"/>
              <w:rPr>
                <w:color w:val="515151" w:themeColor="text1"/>
              </w:rPr>
            </w:pPr>
            <w:r w:rsidRPr="00301BEC">
              <w:rPr>
                <w:color w:val="515151" w:themeColor="text1"/>
              </w:rPr>
              <w:t>CERs</w:t>
            </w:r>
          </w:p>
        </w:tc>
      </w:tr>
      <w:tr w:rsidR="00D67D71" w:rsidRPr="00AD5CDE" w14:paraId="4C2F1974" w14:textId="77777777" w:rsidTr="00A55140">
        <w:trPr>
          <w:trHeight w:val="454"/>
        </w:trPr>
        <w:tc>
          <w:tcPr>
            <w:tcW w:w="1240" w:type="pct"/>
            <w:tcBorders>
              <w:top w:val="single" w:sz="4" w:space="0" w:color="A6A6A6" w:themeColor="background1" w:themeShade="A6"/>
              <w:bottom w:val="single" w:sz="4" w:space="0" w:color="A6A6A6" w:themeColor="background1" w:themeShade="A6"/>
            </w:tcBorders>
            <w:vAlign w:val="top"/>
          </w:tcPr>
          <w:p w14:paraId="08EC1B5D" w14:textId="77777777" w:rsidR="00D67D71" w:rsidRPr="00301BEC" w:rsidRDefault="00D67D71" w:rsidP="00181354">
            <w:pPr>
              <w:pStyle w:val="Default"/>
              <w:rPr>
                <w:color w:val="515151" w:themeColor="text1"/>
              </w:rPr>
            </w:pPr>
            <w:r w:rsidRPr="00301BEC">
              <w:rPr>
                <w:color w:val="515151" w:themeColor="text1"/>
              </w:rPr>
              <w:t xml:space="preserve">Goal 17, Target 17.7 </w:t>
            </w:r>
          </w:p>
          <w:p w14:paraId="6B33DE78" w14:textId="77777777" w:rsidR="00D67D71" w:rsidRPr="00301BEC" w:rsidRDefault="00D67D71" w:rsidP="00181354">
            <w:pPr>
              <w:pStyle w:val="Default"/>
              <w:rPr>
                <w:color w:val="515151" w:themeColor="text1"/>
                <w:szCs w:val="20"/>
              </w:rPr>
            </w:pPr>
            <w:r w:rsidRPr="00301BEC">
              <w:rPr>
                <w:color w:val="515151" w:themeColor="text1"/>
                <w:szCs w:val="20"/>
              </w:rPr>
              <w:t xml:space="preserve">Transfer of an innovative and clean energy technology </w:t>
            </w:r>
          </w:p>
          <w:p w14:paraId="67CB8538" w14:textId="77777777" w:rsidR="00D67D71" w:rsidRPr="00301BEC" w:rsidRDefault="00D67D71" w:rsidP="00181354">
            <w:pPr>
              <w:rPr>
                <w:color w:val="auto"/>
                <w:lang w:val="en-GB"/>
              </w:rPr>
            </w:pPr>
          </w:p>
        </w:tc>
        <w:tc>
          <w:tcPr>
            <w:tcW w:w="1409" w:type="pct"/>
            <w:tcBorders>
              <w:top w:val="single" w:sz="4" w:space="0" w:color="A6A6A6" w:themeColor="background1" w:themeShade="A6"/>
              <w:bottom w:val="single" w:sz="4" w:space="0" w:color="A6A6A6" w:themeColor="background1" w:themeShade="A6"/>
            </w:tcBorders>
            <w:vAlign w:val="top"/>
          </w:tcPr>
          <w:p w14:paraId="05C292DC" w14:textId="68377184" w:rsidR="00D67D71" w:rsidRPr="00301BEC" w:rsidRDefault="00D67D71" w:rsidP="00816579">
            <w:pPr>
              <w:spacing w:line="276" w:lineRule="auto"/>
              <w:rPr>
                <w:rFonts w:asciiTheme="minorHAnsi" w:hAnsiTheme="minorHAnsi" w:cs="Arial"/>
                <w:color w:val="auto"/>
                <w:szCs w:val="22"/>
                <w:lang w:val="en-GB"/>
              </w:rPr>
            </w:pPr>
            <w:r w:rsidRPr="00301BEC">
              <w:rPr>
                <w:rFonts w:asciiTheme="minorHAnsi" w:hAnsiTheme="minorHAnsi" w:cs="Arial"/>
                <w:color w:val="515151" w:themeColor="text1"/>
                <w:sz w:val="20"/>
                <w:szCs w:val="22"/>
                <w:lang w:val="en-GB"/>
              </w:rPr>
              <w:t xml:space="preserve">Technology transfer of deenbandhu biogas digester model </w:t>
            </w:r>
          </w:p>
        </w:tc>
        <w:tc>
          <w:tcPr>
            <w:tcW w:w="1545" w:type="pct"/>
            <w:tcBorders>
              <w:top w:val="single" w:sz="4" w:space="0" w:color="A6A6A6" w:themeColor="background1" w:themeShade="A6"/>
              <w:bottom w:val="single" w:sz="4" w:space="0" w:color="A6A6A6" w:themeColor="background1" w:themeShade="A6"/>
            </w:tcBorders>
            <w:vAlign w:val="top"/>
          </w:tcPr>
          <w:p w14:paraId="6BDB21BC" w14:textId="2D8E3838" w:rsidR="00D67D71" w:rsidRPr="00301BEC" w:rsidRDefault="00D67D71" w:rsidP="00D67D71">
            <w:pPr>
              <w:pStyle w:val="Default"/>
              <w:rPr>
                <w:color w:val="515151" w:themeColor="text1"/>
                <w:szCs w:val="20"/>
              </w:rPr>
            </w:pPr>
            <w:r w:rsidRPr="00301BEC">
              <w:rPr>
                <w:color w:val="515151" w:themeColor="text1"/>
                <w:szCs w:val="20"/>
              </w:rPr>
              <w:t>79</w:t>
            </w:r>
            <w:r w:rsidR="003D3170">
              <w:rPr>
                <w:color w:val="515151" w:themeColor="text1"/>
                <w:szCs w:val="20"/>
              </w:rPr>
              <w:t>6</w:t>
            </w:r>
          </w:p>
          <w:p w14:paraId="2048255E" w14:textId="77777777" w:rsidR="002502DD" w:rsidRPr="00301BEC" w:rsidRDefault="002502DD" w:rsidP="00816579">
            <w:pPr>
              <w:spacing w:line="276" w:lineRule="auto"/>
              <w:rPr>
                <w:color w:val="515151" w:themeColor="text1"/>
                <w:szCs w:val="20"/>
              </w:rPr>
            </w:pPr>
          </w:p>
          <w:p w14:paraId="1488A969" w14:textId="668C5A10" w:rsidR="00D67D71" w:rsidRPr="00301BEC" w:rsidRDefault="001577AB" w:rsidP="001577AB">
            <w:pPr>
              <w:spacing w:line="276" w:lineRule="auto"/>
              <w:rPr>
                <w:rFonts w:asciiTheme="minorHAnsi" w:hAnsiTheme="minorHAnsi" w:cs="Arial"/>
                <w:color w:val="515151" w:themeColor="text1"/>
                <w:sz w:val="20"/>
                <w:szCs w:val="20"/>
              </w:rPr>
            </w:pPr>
            <w:r w:rsidRPr="00301BEC">
              <w:rPr>
                <w:rFonts w:asciiTheme="minorHAnsi" w:hAnsiTheme="minorHAnsi" w:cs="Arial"/>
                <w:color w:val="515151" w:themeColor="text1"/>
                <w:sz w:val="20"/>
                <w:szCs w:val="20"/>
              </w:rPr>
              <w:t>40</w:t>
            </w:r>
          </w:p>
        </w:tc>
        <w:tc>
          <w:tcPr>
            <w:tcW w:w="806" w:type="pct"/>
            <w:tcBorders>
              <w:top w:val="single" w:sz="4" w:space="0" w:color="A6A6A6" w:themeColor="background1" w:themeShade="A6"/>
              <w:bottom w:val="single" w:sz="4" w:space="0" w:color="A6A6A6" w:themeColor="background1" w:themeShade="A6"/>
            </w:tcBorders>
            <w:vAlign w:val="top"/>
          </w:tcPr>
          <w:p w14:paraId="38BC9829" w14:textId="77777777" w:rsidR="00D67D71" w:rsidRPr="00301BEC" w:rsidRDefault="00D67D71" w:rsidP="00816579">
            <w:pPr>
              <w:spacing w:line="276" w:lineRule="auto"/>
              <w:rPr>
                <w:rFonts w:asciiTheme="minorHAnsi" w:hAnsiTheme="minorHAnsi" w:cs="Arial"/>
                <w:color w:val="515151" w:themeColor="text1"/>
                <w:sz w:val="20"/>
                <w:szCs w:val="20"/>
              </w:rPr>
            </w:pPr>
            <w:r w:rsidRPr="00301BEC">
              <w:rPr>
                <w:rFonts w:asciiTheme="minorHAnsi" w:hAnsiTheme="minorHAnsi" w:cs="Arial"/>
                <w:color w:val="515151" w:themeColor="text1"/>
                <w:sz w:val="20"/>
                <w:szCs w:val="20"/>
              </w:rPr>
              <w:t>Biogas plants constructed</w:t>
            </w:r>
          </w:p>
          <w:p w14:paraId="59D7F06B" w14:textId="420BC077" w:rsidR="002502DD" w:rsidRPr="00301BEC" w:rsidRDefault="001577AB" w:rsidP="00816579">
            <w:pPr>
              <w:spacing w:line="276" w:lineRule="auto"/>
              <w:rPr>
                <w:rFonts w:asciiTheme="minorHAnsi" w:hAnsiTheme="minorHAnsi" w:cs="Arial"/>
                <w:color w:val="515151" w:themeColor="text1"/>
                <w:sz w:val="20"/>
                <w:szCs w:val="20"/>
              </w:rPr>
            </w:pPr>
            <w:r w:rsidRPr="00301BEC">
              <w:rPr>
                <w:rFonts w:asciiTheme="minorHAnsi" w:hAnsiTheme="minorHAnsi" w:cs="Arial"/>
                <w:color w:val="515151" w:themeColor="text1"/>
                <w:sz w:val="20"/>
                <w:szCs w:val="20"/>
              </w:rPr>
              <w:t>People</w:t>
            </w:r>
            <w:r w:rsidR="002502DD" w:rsidRPr="00301BEC">
              <w:rPr>
                <w:rFonts w:asciiTheme="minorHAnsi" w:hAnsiTheme="minorHAnsi" w:cs="Arial"/>
                <w:color w:val="515151" w:themeColor="text1"/>
                <w:sz w:val="20"/>
                <w:szCs w:val="20"/>
              </w:rPr>
              <w:t xml:space="preserve"> working for SES in MP</w:t>
            </w:r>
          </w:p>
        </w:tc>
      </w:tr>
    </w:tbl>
    <w:p w14:paraId="604E3945" w14:textId="265BDFAC" w:rsidR="004473A5" w:rsidRDefault="004473A5" w:rsidP="004473A5">
      <w:pPr>
        <w:spacing w:line="276" w:lineRule="auto"/>
        <w:contextualSpacing w:val="0"/>
        <w:rPr>
          <w:lang w:val="en-GB"/>
        </w:rPr>
      </w:pPr>
    </w:p>
    <w:p w14:paraId="71699804" w14:textId="233C79EA" w:rsidR="00816579" w:rsidRDefault="00816579" w:rsidP="00816579">
      <w:pPr>
        <w:pStyle w:val="Heading5"/>
      </w:pPr>
      <w:r w:rsidRPr="00816579">
        <w:t>Table 2 – Product Vintages</w:t>
      </w:r>
    </w:p>
    <w:p w14:paraId="621DDBCD" w14:textId="77777777" w:rsidR="00534525" w:rsidRPr="00B5792C" w:rsidRDefault="00534525" w:rsidP="00A55140"/>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3146"/>
        <w:gridCol w:w="3147"/>
        <w:gridCol w:w="3149"/>
      </w:tblGrid>
      <w:tr w:rsidR="00534525" w:rsidRPr="00816579" w14:paraId="26DDAC58" w14:textId="77777777" w:rsidTr="00A55140">
        <w:trPr>
          <w:trHeight w:val="562"/>
        </w:trPr>
        <w:tc>
          <w:tcPr>
            <w:tcW w:w="3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FFFFFF" w:themeColor="background1"/>
            </w:tcBorders>
            <w:shd w:val="clear" w:color="auto" w:fill="00B9BD" w:themeFill="accent1"/>
          </w:tcPr>
          <w:p w14:paraId="166765B6" w14:textId="77777777" w:rsidR="00534525" w:rsidRPr="00816579" w:rsidRDefault="00534525" w:rsidP="00816579">
            <w:pPr>
              <w:spacing w:line="276" w:lineRule="auto"/>
              <w:contextualSpacing w:val="0"/>
              <w:rPr>
                <w:b/>
                <w:bCs/>
                <w:color w:val="FFFFFF" w:themeColor="background1"/>
                <w:lang w:val="en-GB"/>
              </w:rPr>
            </w:pPr>
            <w:r w:rsidRPr="00816579">
              <w:rPr>
                <w:b/>
                <w:bCs/>
                <w:color w:val="FFFFFF" w:themeColor="background1"/>
                <w:lang w:val="en-GB"/>
              </w:rPr>
              <w:t>Start Dates</w:t>
            </w:r>
          </w:p>
        </w:tc>
        <w:tc>
          <w:tcPr>
            <w:tcW w:w="3147"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17B5A6D9" w14:textId="77777777" w:rsidR="00534525" w:rsidRPr="00816579" w:rsidRDefault="00534525" w:rsidP="00816579">
            <w:pPr>
              <w:spacing w:line="276" w:lineRule="auto"/>
              <w:contextualSpacing w:val="0"/>
              <w:rPr>
                <w:b/>
                <w:bCs/>
                <w:color w:val="FFFFFF" w:themeColor="background1"/>
                <w:lang w:val="en-GB"/>
              </w:rPr>
            </w:pPr>
            <w:r w:rsidRPr="00816579">
              <w:rPr>
                <w:b/>
                <w:bCs/>
                <w:color w:val="FFFFFF" w:themeColor="background1"/>
                <w:lang w:val="en-GB"/>
              </w:rPr>
              <w:t>End Dates</w:t>
            </w:r>
          </w:p>
        </w:tc>
        <w:tc>
          <w:tcPr>
            <w:tcW w:w="3149"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00B9BD" w:themeFill="accent1"/>
          </w:tcPr>
          <w:p w14:paraId="2ECEA15C" w14:textId="25427867" w:rsidR="00534525" w:rsidRPr="00816579" w:rsidRDefault="00534525" w:rsidP="00816579">
            <w:pPr>
              <w:spacing w:line="276" w:lineRule="auto"/>
              <w:contextualSpacing w:val="0"/>
              <w:rPr>
                <w:b/>
                <w:bCs/>
                <w:color w:val="FFFFFF" w:themeColor="background1"/>
                <w:lang w:val="en-GB"/>
              </w:rPr>
            </w:pPr>
            <w:r>
              <w:rPr>
                <w:b/>
                <w:bCs/>
                <w:color w:val="FFFFFF" w:themeColor="background1"/>
                <w:lang w:val="en-GB"/>
              </w:rPr>
              <w:t>CER</w:t>
            </w:r>
          </w:p>
        </w:tc>
      </w:tr>
      <w:tr w:rsidR="00534525" w:rsidRPr="00816579" w14:paraId="514D28DF" w14:textId="77777777" w:rsidTr="00A55140">
        <w:trPr>
          <w:trHeight w:val="562"/>
        </w:trPr>
        <w:tc>
          <w:tcPr>
            <w:tcW w:w="3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1297267" w14:textId="6C182C82" w:rsidR="00534525" w:rsidRPr="00816579" w:rsidRDefault="00534525" w:rsidP="00816579">
            <w:pPr>
              <w:spacing w:line="276" w:lineRule="auto"/>
              <w:contextualSpacing w:val="0"/>
              <w:rPr>
                <w:lang w:val="en-GB"/>
              </w:rPr>
            </w:pPr>
            <w:r>
              <w:rPr>
                <w:lang w:val="en-GB"/>
              </w:rPr>
              <w:lastRenderedPageBreak/>
              <w:t>31/12/2018</w:t>
            </w:r>
          </w:p>
        </w:tc>
        <w:tc>
          <w:tcPr>
            <w:tcW w:w="31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E16A95E" w14:textId="70BA18EC" w:rsidR="00534525" w:rsidRPr="00816579" w:rsidRDefault="00534525" w:rsidP="00816579">
            <w:pPr>
              <w:spacing w:line="276" w:lineRule="auto"/>
              <w:contextualSpacing w:val="0"/>
              <w:rPr>
                <w:lang w:val="en-GB"/>
              </w:rPr>
            </w:pPr>
            <w:r>
              <w:rPr>
                <w:lang w:val="en-GB"/>
              </w:rPr>
              <w:t>31/12/2018</w:t>
            </w:r>
          </w:p>
        </w:tc>
        <w:tc>
          <w:tcPr>
            <w:tcW w:w="3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66C4DB8" w14:textId="1D698428" w:rsidR="00534525" w:rsidRPr="00816579" w:rsidRDefault="00534525" w:rsidP="00816579">
            <w:pPr>
              <w:spacing w:line="276" w:lineRule="auto"/>
              <w:contextualSpacing w:val="0"/>
              <w:rPr>
                <w:lang w:val="en-GB"/>
              </w:rPr>
            </w:pPr>
            <w:r>
              <w:rPr>
                <w:lang w:val="en-GB"/>
              </w:rPr>
              <w:t>10</w:t>
            </w:r>
          </w:p>
        </w:tc>
      </w:tr>
      <w:tr w:rsidR="00534525" w:rsidRPr="00816579" w14:paraId="58F8796A" w14:textId="77777777" w:rsidTr="00A55140">
        <w:trPr>
          <w:trHeight w:val="562"/>
        </w:trPr>
        <w:tc>
          <w:tcPr>
            <w:tcW w:w="3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825E175" w14:textId="4AE0C945" w:rsidR="00534525" w:rsidRPr="00816579" w:rsidRDefault="00534525" w:rsidP="00816579">
            <w:pPr>
              <w:spacing w:line="276" w:lineRule="auto"/>
              <w:contextualSpacing w:val="0"/>
              <w:rPr>
                <w:lang w:val="en-GB"/>
              </w:rPr>
            </w:pPr>
            <w:r>
              <w:rPr>
                <w:lang w:val="en-GB"/>
              </w:rPr>
              <w:t>01/01/2019</w:t>
            </w:r>
          </w:p>
        </w:tc>
        <w:tc>
          <w:tcPr>
            <w:tcW w:w="31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047154F" w14:textId="1EFDF6A8" w:rsidR="00534525" w:rsidRPr="00816579" w:rsidRDefault="00534525" w:rsidP="00816579">
            <w:pPr>
              <w:spacing w:line="276" w:lineRule="auto"/>
              <w:contextualSpacing w:val="0"/>
              <w:rPr>
                <w:lang w:val="en-GB"/>
              </w:rPr>
            </w:pPr>
            <w:r>
              <w:rPr>
                <w:lang w:val="en-GB"/>
              </w:rPr>
              <w:t>31/12/2019</w:t>
            </w:r>
          </w:p>
        </w:tc>
        <w:tc>
          <w:tcPr>
            <w:tcW w:w="3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0915F8" w14:textId="27F307EE" w:rsidR="00534525" w:rsidRPr="00816579" w:rsidRDefault="00A118D5" w:rsidP="00816579">
            <w:pPr>
              <w:spacing w:line="276" w:lineRule="auto"/>
              <w:contextualSpacing w:val="0"/>
              <w:rPr>
                <w:lang w:val="en-GB"/>
              </w:rPr>
            </w:pPr>
            <w:r>
              <w:rPr>
                <w:lang w:val="en-GB"/>
              </w:rPr>
              <w:t>3704</w:t>
            </w:r>
            <w:r w:rsidR="00F346AB">
              <w:rPr>
                <w:lang w:val="en-GB"/>
              </w:rPr>
              <w:t>.5</w:t>
            </w:r>
          </w:p>
        </w:tc>
      </w:tr>
      <w:tr w:rsidR="00534525" w:rsidRPr="00816579" w14:paraId="3DDA48A7" w14:textId="77777777" w:rsidTr="00A55140">
        <w:trPr>
          <w:trHeight w:val="548"/>
        </w:trPr>
        <w:tc>
          <w:tcPr>
            <w:tcW w:w="3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F56BEC2" w14:textId="5C68A9BE" w:rsidR="00534525" w:rsidRPr="00816579" w:rsidRDefault="00534525" w:rsidP="00816579">
            <w:pPr>
              <w:spacing w:line="276" w:lineRule="auto"/>
              <w:contextualSpacing w:val="0"/>
              <w:rPr>
                <w:lang w:val="en-GB"/>
              </w:rPr>
            </w:pPr>
            <w:r>
              <w:rPr>
                <w:lang w:val="en-GB"/>
              </w:rPr>
              <w:t>01/01/2020</w:t>
            </w:r>
          </w:p>
        </w:tc>
        <w:tc>
          <w:tcPr>
            <w:tcW w:w="31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DE0FDDB" w14:textId="3FF13FF6" w:rsidR="00534525" w:rsidRPr="00816579" w:rsidRDefault="00534525" w:rsidP="00816579">
            <w:pPr>
              <w:spacing w:line="276" w:lineRule="auto"/>
              <w:contextualSpacing w:val="0"/>
              <w:rPr>
                <w:lang w:val="en-GB"/>
              </w:rPr>
            </w:pPr>
            <w:r>
              <w:rPr>
                <w:lang w:val="en-GB"/>
              </w:rPr>
              <w:t>30/12/2020</w:t>
            </w:r>
          </w:p>
        </w:tc>
        <w:tc>
          <w:tcPr>
            <w:tcW w:w="31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B778B2E" w14:textId="67824D7D" w:rsidR="00534525" w:rsidRPr="00816579" w:rsidRDefault="00A118D5" w:rsidP="00816579">
            <w:pPr>
              <w:spacing w:line="276" w:lineRule="auto"/>
              <w:contextualSpacing w:val="0"/>
              <w:rPr>
                <w:lang w:val="en-GB"/>
              </w:rPr>
            </w:pPr>
            <w:r>
              <w:rPr>
                <w:lang w:val="en-GB"/>
              </w:rPr>
              <w:t>3704</w:t>
            </w:r>
            <w:r w:rsidR="00F346AB">
              <w:rPr>
                <w:lang w:val="en-GB"/>
              </w:rPr>
              <w:t>.5</w:t>
            </w:r>
          </w:p>
        </w:tc>
      </w:tr>
    </w:tbl>
    <w:p w14:paraId="6ADFF067" w14:textId="5FE07C3D" w:rsidR="00BA3DE6" w:rsidRDefault="00BA3DE6">
      <w:pPr>
        <w:spacing w:line="276" w:lineRule="auto"/>
        <w:contextualSpacing w:val="0"/>
        <w:rPr>
          <w:lang w:val="en-GB"/>
        </w:rPr>
      </w:pPr>
    </w:p>
    <w:p w14:paraId="51419879" w14:textId="1A4C880B" w:rsidR="00816579" w:rsidRPr="00565D0D" w:rsidRDefault="00465B23" w:rsidP="00465B23">
      <w:pPr>
        <w:pStyle w:val="Heading4"/>
      </w:pPr>
      <w:bookmarkStart w:id="0" w:name="_Ref49860651"/>
      <w:r>
        <w:t xml:space="preserve">SECTION A. </w:t>
      </w:r>
      <w:r w:rsidR="00816579" w:rsidRPr="00565D0D">
        <w:t>DESCRIPTION OF PROJECT</w:t>
      </w:r>
      <w:bookmarkEnd w:id="0"/>
    </w:p>
    <w:p w14:paraId="5C833AD7" w14:textId="2A172BCD" w:rsidR="00816579" w:rsidRPr="00241108" w:rsidRDefault="00465B23" w:rsidP="00465B23">
      <w:pPr>
        <w:pStyle w:val="Heading5"/>
      </w:pPr>
      <w:bookmarkStart w:id="1" w:name="_Toc40962734"/>
      <w:r>
        <w:t xml:space="preserve">A.1. </w:t>
      </w:r>
      <w:r w:rsidR="00816579">
        <w:t xml:space="preserve">General </w:t>
      </w:r>
      <w:r w:rsidR="00816579" w:rsidRPr="00241108">
        <w:t>description of project</w:t>
      </w:r>
      <w:bookmarkEnd w:id="1"/>
      <w:r w:rsidR="00816579" w:rsidRPr="00241108">
        <w:t xml:space="preserve"> </w:t>
      </w:r>
    </w:p>
    <w:p w14:paraId="149D318D" w14:textId="1D507B58" w:rsidR="00DF472E" w:rsidRPr="00DF472E" w:rsidRDefault="00DF472E" w:rsidP="00DF472E"/>
    <w:p w14:paraId="6D82A8BD" w14:textId="77777777" w:rsidR="00DF472E" w:rsidRPr="00DF472E" w:rsidRDefault="00DF472E" w:rsidP="00326F42">
      <w:pPr>
        <w:numPr>
          <w:ilvl w:val="0"/>
          <w:numId w:val="24"/>
        </w:numPr>
        <w:spacing w:after="0" w:line="240" w:lineRule="auto"/>
        <w:contextualSpacing w:val="0"/>
        <w:jc w:val="both"/>
        <w:rPr>
          <w:rFonts w:cs="Arial"/>
          <w:u w:val="single"/>
        </w:rPr>
      </w:pPr>
      <w:r w:rsidRPr="00DF472E">
        <w:rPr>
          <w:rFonts w:cs="Arial"/>
          <w:u w:val="single"/>
        </w:rPr>
        <w:t>Purpose of the project activity and the measures taken for GHG emission reductions or net anthropogenic GHG removals by sinks</w:t>
      </w:r>
    </w:p>
    <w:p w14:paraId="4890558B" w14:textId="77777777" w:rsidR="00DF472E" w:rsidRPr="00DF472E" w:rsidRDefault="00DF472E" w:rsidP="00DF472E">
      <w:pPr>
        <w:spacing w:after="0" w:line="240" w:lineRule="auto"/>
        <w:ind w:left="720"/>
        <w:contextualSpacing w:val="0"/>
        <w:jc w:val="both"/>
        <w:rPr>
          <w:rFonts w:cs="Arial"/>
          <w:u w:val="single"/>
        </w:rPr>
      </w:pPr>
    </w:p>
    <w:p w14:paraId="642E8B23" w14:textId="77777777" w:rsidR="00DF472E" w:rsidRPr="00DF472E" w:rsidRDefault="00DF472E" w:rsidP="00DF472E">
      <w:pPr>
        <w:spacing w:before="240"/>
        <w:rPr>
          <w:rFonts w:cs="Arial"/>
        </w:rPr>
      </w:pPr>
      <w:r w:rsidRPr="00DF472E">
        <w:rPr>
          <w:rFonts w:cs="Arial"/>
        </w:rPr>
        <w:t>The small-scale project activity aims to construct up to 10,000 domestic biogas units of mainly 2m</w:t>
      </w:r>
      <w:r w:rsidRPr="00DF472E">
        <w:rPr>
          <w:rFonts w:cs="Arial"/>
          <w:vertAlign w:val="superscript"/>
        </w:rPr>
        <w:t>3</w:t>
      </w:r>
      <w:r w:rsidRPr="00DF472E">
        <w:rPr>
          <w:rFonts w:cs="Arial"/>
        </w:rPr>
        <w:t xml:space="preserve"> and 3m</w:t>
      </w:r>
      <w:r w:rsidRPr="00DF472E">
        <w:rPr>
          <w:rFonts w:cs="Arial"/>
          <w:vertAlign w:val="superscript"/>
        </w:rPr>
        <w:t>3</w:t>
      </w:r>
      <w:r w:rsidRPr="00DF472E">
        <w:rPr>
          <w:rFonts w:cs="Arial"/>
        </w:rPr>
        <w:t xml:space="preserve"> gas storage capacities each for individual households of at least 2 zero-grazing cows in Nairobi River Basin. Beneficiaries will be mainly dairy farmers and members of rural dairy Saccos (Saving Credit Cooperatives).</w:t>
      </w:r>
    </w:p>
    <w:p w14:paraId="689CAF27" w14:textId="77777777" w:rsidR="00DF472E" w:rsidRPr="00DF472E" w:rsidRDefault="00DF472E" w:rsidP="00DF472E">
      <w:pPr>
        <w:rPr>
          <w:rFonts w:cs="Arial"/>
        </w:rPr>
      </w:pPr>
    </w:p>
    <w:p w14:paraId="5DF86B85" w14:textId="77777777" w:rsidR="00DF472E" w:rsidRPr="00DF472E" w:rsidRDefault="00DF472E" w:rsidP="00DF472E">
      <w:pPr>
        <w:rPr>
          <w:rFonts w:cs="Arial"/>
        </w:rPr>
      </w:pPr>
      <w:r w:rsidRPr="00DF472E">
        <w:rPr>
          <w:rFonts w:cs="Arial"/>
        </w:rPr>
        <w:t>The biogas units are fed with cow dung and produce renewable biogas for cooking and water heating purpose. The digesting process will also generate fertile slurry as a by-product, which can be used as manure for local agriculture (e.g. vegetable farming) and as regular income earning activity. The project activity is saving greenhouse gas emissions by replacing non-renewable biomass (mainly fuel wood and charcoal) with renewable biogas. The project activity will also replace fossil fuels (LPG and Kerosene). However, this will not be taken into account for conservativeness reasons.</w:t>
      </w:r>
    </w:p>
    <w:p w14:paraId="1E41ACED" w14:textId="77777777" w:rsidR="00DF472E" w:rsidRPr="00DF472E" w:rsidRDefault="00DF472E" w:rsidP="00DF472E">
      <w:pPr>
        <w:rPr>
          <w:rFonts w:cs="Arial"/>
        </w:rPr>
      </w:pPr>
      <w:r w:rsidRPr="00DF472E">
        <w:rPr>
          <w:rFonts w:cs="Arial"/>
        </w:rPr>
        <w:t>Carbon revenues will be the only source of subsidy financing. The applied CDM Methodology is AMS I.E. (version 04).</w:t>
      </w:r>
    </w:p>
    <w:p w14:paraId="5893D13E" w14:textId="77777777" w:rsidR="00DF472E" w:rsidRPr="00DF472E" w:rsidRDefault="00DF472E" w:rsidP="00DF472E"/>
    <w:p w14:paraId="39CF2CDD" w14:textId="77777777" w:rsidR="00DF472E" w:rsidRPr="00DF472E" w:rsidRDefault="00DF472E" w:rsidP="00326F42">
      <w:pPr>
        <w:numPr>
          <w:ilvl w:val="0"/>
          <w:numId w:val="24"/>
        </w:numPr>
        <w:spacing w:after="0" w:line="240" w:lineRule="auto"/>
        <w:contextualSpacing w:val="0"/>
        <w:jc w:val="both"/>
        <w:rPr>
          <w:rFonts w:cs="Arial"/>
          <w:u w:val="single"/>
        </w:rPr>
      </w:pPr>
      <w:r w:rsidRPr="00DF472E">
        <w:rPr>
          <w:rFonts w:cs="Arial"/>
          <w:u w:val="single"/>
        </w:rPr>
        <w:t>Brief description of the installed technology and equipment</w:t>
      </w:r>
    </w:p>
    <w:p w14:paraId="5BF8DEFE" w14:textId="77777777" w:rsidR="00DF472E" w:rsidRPr="00DF472E" w:rsidRDefault="00DF472E" w:rsidP="00DF472E">
      <w:pPr>
        <w:spacing w:after="0" w:line="240" w:lineRule="auto"/>
        <w:ind w:left="720"/>
        <w:contextualSpacing w:val="0"/>
        <w:jc w:val="both"/>
        <w:rPr>
          <w:rFonts w:cs="Arial"/>
          <w:color w:val="515151" w:themeColor="text1"/>
          <w:u w:val="single"/>
        </w:rPr>
      </w:pPr>
    </w:p>
    <w:p w14:paraId="758FA5C4" w14:textId="77777777" w:rsidR="00DF472E" w:rsidRPr="00DF472E" w:rsidRDefault="00DF472E" w:rsidP="00DF472E">
      <w:pPr>
        <w:autoSpaceDE w:val="0"/>
        <w:autoSpaceDN w:val="0"/>
        <w:adjustRightInd w:val="0"/>
        <w:spacing w:before="240"/>
        <w:rPr>
          <w:rFonts w:eastAsia="MS Mincho" w:cs="Arial"/>
          <w:color w:val="515151" w:themeColor="text1"/>
        </w:rPr>
      </w:pPr>
      <w:r w:rsidRPr="00DF472E">
        <w:rPr>
          <w:rFonts w:eastAsia="MS Mincho" w:cs="Arial"/>
          <w:color w:val="515151" w:themeColor="text1"/>
        </w:rPr>
        <w:t xml:space="preserve">The technology to be employed is of the type “Deenbandhu model 2000”, which is well known and widely implemented in India, i.e. in registered CDM projects. The model has been developed by the Indian NGO, Action for Food Production (AFPRO) since the 1970s. It is a fixed dome type, which combines durable quality with a lifetime of over fifteen years and cheap construction costs by using locally procured materials. </w:t>
      </w:r>
      <w:r w:rsidRPr="00DF472E">
        <w:rPr>
          <w:rFonts w:eastAsia="MS Mincho" w:cs="Arial"/>
          <w:color w:val="515151" w:themeColor="text1"/>
          <w:lang w:val="de-DE"/>
        </w:rPr>
        <w:t>Design of the model may develop over time.</w:t>
      </w:r>
    </w:p>
    <w:p w14:paraId="22D734D5" w14:textId="77777777" w:rsidR="00DF472E" w:rsidRPr="00DF472E" w:rsidRDefault="00DF472E" w:rsidP="00DF472E">
      <w:pPr>
        <w:rPr>
          <w:rFonts w:cs="Arial"/>
          <w:u w:val="single"/>
        </w:rPr>
      </w:pPr>
    </w:p>
    <w:p w14:paraId="3512A71F" w14:textId="77777777" w:rsidR="00DF472E" w:rsidRPr="00DF472E" w:rsidRDefault="00DF472E" w:rsidP="00DF472E">
      <w:pPr>
        <w:rPr>
          <w:rFonts w:cs="Arial"/>
          <w:u w:val="single"/>
        </w:rPr>
      </w:pPr>
    </w:p>
    <w:p w14:paraId="27A21EA3" w14:textId="77777777" w:rsidR="00DF472E" w:rsidRPr="00DF472E" w:rsidRDefault="00DF472E" w:rsidP="00DF472E">
      <w:pPr>
        <w:rPr>
          <w:rFonts w:cs="Arial"/>
          <w:u w:val="single"/>
        </w:rPr>
      </w:pPr>
    </w:p>
    <w:p w14:paraId="117E2CE8" w14:textId="77777777" w:rsidR="00DF472E" w:rsidRPr="00DF472E" w:rsidRDefault="00DF472E" w:rsidP="00DF472E">
      <w:pPr>
        <w:rPr>
          <w:rFonts w:cs="Arial"/>
          <w:u w:val="single"/>
        </w:rPr>
      </w:pPr>
    </w:p>
    <w:p w14:paraId="308D8405" w14:textId="77777777" w:rsidR="00DF472E" w:rsidRPr="00DF472E" w:rsidRDefault="00DF472E" w:rsidP="00DF472E">
      <w:pPr>
        <w:rPr>
          <w:rFonts w:cs="Arial"/>
          <w:u w:val="single"/>
        </w:rPr>
      </w:pPr>
    </w:p>
    <w:p w14:paraId="400E6F16" w14:textId="77777777" w:rsidR="00DF472E" w:rsidRPr="00DF472E" w:rsidRDefault="00DF472E" w:rsidP="00DF472E">
      <w:pPr>
        <w:rPr>
          <w:rFonts w:cs="Arial"/>
          <w:u w:val="single"/>
        </w:rPr>
      </w:pPr>
    </w:p>
    <w:p w14:paraId="04C86C79" w14:textId="77777777" w:rsidR="00DF472E" w:rsidRPr="00DF472E" w:rsidRDefault="00DF472E" w:rsidP="00DF472E">
      <w:pPr>
        <w:rPr>
          <w:rFonts w:cs="Arial"/>
          <w:u w:val="single"/>
        </w:rPr>
      </w:pPr>
    </w:p>
    <w:p w14:paraId="17F60A64" w14:textId="77777777" w:rsidR="00DF472E" w:rsidRPr="00DF472E" w:rsidRDefault="00DF472E" w:rsidP="00326F42">
      <w:pPr>
        <w:numPr>
          <w:ilvl w:val="0"/>
          <w:numId w:val="24"/>
        </w:numPr>
        <w:spacing w:after="240" w:line="240" w:lineRule="auto"/>
        <w:contextualSpacing w:val="0"/>
        <w:jc w:val="both"/>
        <w:rPr>
          <w:rFonts w:cs="Arial"/>
          <w:u w:val="single"/>
        </w:rPr>
      </w:pPr>
      <w:r w:rsidRPr="00DF472E">
        <w:rPr>
          <w:rFonts w:cs="Arial"/>
          <w:u w:val="single"/>
        </w:rPr>
        <w:t>Relevant dates for the project activity (e.g construction, commissioning, continued operation periods, etc.)</w:t>
      </w:r>
    </w:p>
    <w:tbl>
      <w:tblPr>
        <w:tblStyle w:val="GSBoldTable"/>
        <w:tblW w:w="0" w:type="auto"/>
        <w:tblLook w:val="04A0" w:firstRow="1" w:lastRow="0" w:firstColumn="1" w:lastColumn="0" w:noHBand="0" w:noVBand="1"/>
      </w:tblPr>
      <w:tblGrid>
        <w:gridCol w:w="3044"/>
        <w:gridCol w:w="6585"/>
      </w:tblGrid>
      <w:tr w:rsidR="00DF472E" w:rsidRPr="00DF472E" w14:paraId="6811D7B5" w14:textId="77777777" w:rsidTr="009B2831">
        <w:trPr>
          <w:cnfStyle w:val="100000000000" w:firstRow="1" w:lastRow="0" w:firstColumn="0" w:lastColumn="0" w:oddVBand="0" w:evenVBand="0" w:oddHBand="0" w:evenHBand="0" w:firstRowFirstColumn="0" w:firstRowLastColumn="0" w:lastRowFirstColumn="0" w:lastRowLastColumn="0"/>
        </w:trPr>
        <w:tc>
          <w:tcPr>
            <w:tcW w:w="3044" w:type="dxa"/>
          </w:tcPr>
          <w:p w14:paraId="54F96D27" w14:textId="77777777" w:rsidR="00DF472E" w:rsidRPr="00D265E2" w:rsidRDefault="00DF472E" w:rsidP="00DF472E">
            <w:pPr>
              <w:rPr>
                <w:rFonts w:cs="Arial"/>
                <w:b/>
                <w:color w:val="FFFFFF" w:themeColor="background1"/>
              </w:rPr>
            </w:pPr>
            <w:r w:rsidRPr="00D265E2">
              <w:rPr>
                <w:rFonts w:cs="Arial"/>
                <w:b/>
                <w:color w:val="FFFFFF" w:themeColor="background1"/>
              </w:rPr>
              <w:t>Date</w:t>
            </w:r>
          </w:p>
        </w:tc>
        <w:tc>
          <w:tcPr>
            <w:tcW w:w="6585" w:type="dxa"/>
          </w:tcPr>
          <w:p w14:paraId="7FDD4E4D" w14:textId="77777777" w:rsidR="00DF472E" w:rsidRPr="00D265E2" w:rsidRDefault="00DF472E" w:rsidP="00DF472E">
            <w:pPr>
              <w:rPr>
                <w:rFonts w:cs="Arial"/>
                <w:b/>
                <w:color w:val="FFFFFF" w:themeColor="background1"/>
              </w:rPr>
            </w:pPr>
            <w:r w:rsidRPr="00D265E2">
              <w:rPr>
                <w:rFonts w:cs="Arial"/>
                <w:b/>
                <w:color w:val="FFFFFF" w:themeColor="background1"/>
              </w:rPr>
              <w:t>Milestone</w:t>
            </w:r>
          </w:p>
        </w:tc>
      </w:tr>
      <w:tr w:rsidR="00DF472E" w:rsidRPr="00DF472E" w14:paraId="35D7FE25" w14:textId="77777777" w:rsidTr="009B2831">
        <w:trPr>
          <w:trHeight w:val="510"/>
        </w:trPr>
        <w:tc>
          <w:tcPr>
            <w:tcW w:w="3044" w:type="dxa"/>
          </w:tcPr>
          <w:p w14:paraId="0F8D1EC9" w14:textId="77777777" w:rsidR="00DF472E" w:rsidRPr="00DF472E" w:rsidRDefault="00DF472E" w:rsidP="00DF472E">
            <w:pPr>
              <w:rPr>
                <w:sz w:val="20"/>
              </w:rPr>
            </w:pPr>
            <w:r w:rsidRPr="00DF472E">
              <w:rPr>
                <w:sz w:val="20"/>
              </w:rPr>
              <w:t>21/08/2010</w:t>
            </w:r>
          </w:p>
        </w:tc>
        <w:tc>
          <w:tcPr>
            <w:tcW w:w="6585" w:type="dxa"/>
          </w:tcPr>
          <w:p w14:paraId="33E2CB4E" w14:textId="77777777" w:rsidR="00DF472E" w:rsidRPr="00DF472E" w:rsidRDefault="00DF472E" w:rsidP="00DF472E">
            <w:pPr>
              <w:rPr>
                <w:sz w:val="20"/>
              </w:rPr>
            </w:pPr>
            <w:r w:rsidRPr="00DF472E">
              <w:rPr>
                <w:sz w:val="20"/>
              </w:rPr>
              <w:t>Conduction of GS Local Stakeholder Consultation in</w:t>
            </w:r>
          </w:p>
          <w:p w14:paraId="1E9E315A" w14:textId="77777777" w:rsidR="00DF472E" w:rsidRPr="00DF472E" w:rsidRDefault="00DF472E" w:rsidP="00DF472E">
            <w:pPr>
              <w:rPr>
                <w:sz w:val="20"/>
              </w:rPr>
            </w:pPr>
            <w:r w:rsidRPr="00DF472E">
              <w:rPr>
                <w:sz w:val="20"/>
              </w:rPr>
              <w:t>Kikuyu Hospital/Thogoto, Kiambu District</w:t>
            </w:r>
          </w:p>
        </w:tc>
      </w:tr>
      <w:tr w:rsidR="00DF472E" w:rsidRPr="00DF472E" w14:paraId="0753A019" w14:textId="77777777" w:rsidTr="009B2831">
        <w:trPr>
          <w:trHeight w:val="283"/>
        </w:trPr>
        <w:tc>
          <w:tcPr>
            <w:tcW w:w="3044" w:type="dxa"/>
          </w:tcPr>
          <w:p w14:paraId="3A3DB0FA" w14:textId="77777777" w:rsidR="00DF472E" w:rsidRPr="00DF472E" w:rsidRDefault="00DF472E" w:rsidP="00DF472E">
            <w:pPr>
              <w:rPr>
                <w:sz w:val="20"/>
              </w:rPr>
            </w:pPr>
            <w:r w:rsidRPr="00DF472E">
              <w:rPr>
                <w:sz w:val="20"/>
              </w:rPr>
              <w:t>09/10/2010</w:t>
            </w:r>
          </w:p>
        </w:tc>
        <w:tc>
          <w:tcPr>
            <w:tcW w:w="6585" w:type="dxa"/>
          </w:tcPr>
          <w:p w14:paraId="6BBB30FF" w14:textId="77777777" w:rsidR="00DF472E" w:rsidRPr="00DF472E" w:rsidRDefault="00DF472E" w:rsidP="00DF472E">
            <w:pPr>
              <w:rPr>
                <w:sz w:val="20"/>
              </w:rPr>
            </w:pPr>
            <w:r w:rsidRPr="00DF472E">
              <w:rPr>
                <w:sz w:val="20"/>
              </w:rPr>
              <w:t>Commissioning of first biogas plant in project area</w:t>
            </w:r>
          </w:p>
        </w:tc>
      </w:tr>
      <w:tr w:rsidR="00DF472E" w:rsidRPr="00DF472E" w14:paraId="31CEAD71" w14:textId="77777777" w:rsidTr="009B2831">
        <w:trPr>
          <w:trHeight w:val="283"/>
        </w:trPr>
        <w:tc>
          <w:tcPr>
            <w:tcW w:w="3044" w:type="dxa"/>
          </w:tcPr>
          <w:p w14:paraId="2E31A37E" w14:textId="77777777" w:rsidR="00DF472E" w:rsidRPr="00DF472E" w:rsidRDefault="00DF472E" w:rsidP="00DF472E">
            <w:pPr>
              <w:rPr>
                <w:sz w:val="20"/>
              </w:rPr>
            </w:pPr>
            <w:r w:rsidRPr="00DF472E">
              <w:rPr>
                <w:sz w:val="20"/>
              </w:rPr>
              <w:t>28/06/2012</w:t>
            </w:r>
          </w:p>
        </w:tc>
        <w:tc>
          <w:tcPr>
            <w:tcW w:w="6585" w:type="dxa"/>
          </w:tcPr>
          <w:p w14:paraId="4159EC65" w14:textId="77777777" w:rsidR="00DF472E" w:rsidRPr="00DF472E" w:rsidRDefault="00DF472E" w:rsidP="00DF472E">
            <w:pPr>
              <w:rPr>
                <w:sz w:val="20"/>
              </w:rPr>
            </w:pPr>
            <w:r w:rsidRPr="00DF472E">
              <w:rPr>
                <w:sz w:val="20"/>
              </w:rPr>
              <w:t>Registration date under UNFCCC</w:t>
            </w:r>
          </w:p>
        </w:tc>
      </w:tr>
      <w:tr w:rsidR="00DF472E" w:rsidRPr="00DF472E" w14:paraId="5F5AB83F" w14:textId="77777777" w:rsidTr="009B2831">
        <w:trPr>
          <w:trHeight w:val="283"/>
        </w:trPr>
        <w:tc>
          <w:tcPr>
            <w:tcW w:w="3044" w:type="dxa"/>
          </w:tcPr>
          <w:p w14:paraId="60E09E37" w14:textId="77777777" w:rsidR="00DF472E" w:rsidRPr="00DF472E" w:rsidRDefault="00DF472E" w:rsidP="00DF472E">
            <w:pPr>
              <w:rPr>
                <w:sz w:val="20"/>
              </w:rPr>
            </w:pPr>
            <w:r w:rsidRPr="00DF472E">
              <w:rPr>
                <w:sz w:val="20"/>
              </w:rPr>
              <w:t>31/12/2012 – 30/12/2014</w:t>
            </w:r>
          </w:p>
        </w:tc>
        <w:tc>
          <w:tcPr>
            <w:tcW w:w="6585" w:type="dxa"/>
          </w:tcPr>
          <w:p w14:paraId="24229FD7" w14:textId="77777777" w:rsidR="00DF472E" w:rsidRPr="00DF472E" w:rsidRDefault="00DF472E" w:rsidP="00DF472E">
            <w:pPr>
              <w:rPr>
                <w:sz w:val="20"/>
              </w:rPr>
            </w:pPr>
            <w:r w:rsidRPr="00DF472E">
              <w:rPr>
                <w:sz w:val="20"/>
              </w:rPr>
              <w:t>First Monitoring Period</w:t>
            </w:r>
          </w:p>
        </w:tc>
      </w:tr>
      <w:tr w:rsidR="00DF472E" w:rsidRPr="00DF472E" w14:paraId="159A76AC" w14:textId="77777777" w:rsidTr="009B2831">
        <w:trPr>
          <w:trHeight w:val="283"/>
        </w:trPr>
        <w:tc>
          <w:tcPr>
            <w:tcW w:w="3044" w:type="dxa"/>
          </w:tcPr>
          <w:p w14:paraId="365B2B1E" w14:textId="5B4A54DC" w:rsidR="00DF472E" w:rsidRPr="00DF472E" w:rsidRDefault="00FF3A89" w:rsidP="00DF472E">
            <w:pPr>
              <w:rPr>
                <w:sz w:val="20"/>
              </w:rPr>
            </w:pPr>
            <w:r>
              <w:rPr>
                <w:sz w:val="20"/>
              </w:rPr>
              <w:t>06/</w:t>
            </w:r>
            <w:r w:rsidR="00DF472E" w:rsidRPr="00DF472E">
              <w:rPr>
                <w:sz w:val="20"/>
              </w:rPr>
              <w:t>01/2016</w:t>
            </w:r>
          </w:p>
        </w:tc>
        <w:tc>
          <w:tcPr>
            <w:tcW w:w="6585" w:type="dxa"/>
          </w:tcPr>
          <w:p w14:paraId="6291FCC2" w14:textId="77777777" w:rsidR="00DF472E" w:rsidRPr="00DF472E" w:rsidRDefault="00DF472E" w:rsidP="00DF472E">
            <w:pPr>
              <w:rPr>
                <w:sz w:val="20"/>
              </w:rPr>
            </w:pPr>
            <w:r w:rsidRPr="00DF472E">
              <w:rPr>
                <w:sz w:val="20"/>
              </w:rPr>
              <w:t>First Issuance of CERs. Total amount: 2,848</w:t>
            </w:r>
          </w:p>
        </w:tc>
      </w:tr>
      <w:tr w:rsidR="00DF472E" w:rsidRPr="00DF472E" w14:paraId="1E64F8B9" w14:textId="77777777" w:rsidTr="009B2831">
        <w:trPr>
          <w:trHeight w:val="283"/>
        </w:trPr>
        <w:tc>
          <w:tcPr>
            <w:tcW w:w="3044" w:type="dxa"/>
          </w:tcPr>
          <w:p w14:paraId="61C74FF1" w14:textId="77777777" w:rsidR="00DF472E" w:rsidRPr="00DF472E" w:rsidRDefault="00DF472E" w:rsidP="00DF472E">
            <w:pPr>
              <w:rPr>
                <w:rFonts w:cs="Arial"/>
              </w:rPr>
            </w:pPr>
            <w:r w:rsidRPr="00DF472E">
              <w:rPr>
                <w:sz w:val="20"/>
              </w:rPr>
              <w:t>31/12/2014 – 30/12/2016</w:t>
            </w:r>
          </w:p>
        </w:tc>
        <w:tc>
          <w:tcPr>
            <w:tcW w:w="6585" w:type="dxa"/>
          </w:tcPr>
          <w:p w14:paraId="3652B7E1" w14:textId="77777777" w:rsidR="00DF472E" w:rsidRPr="00DF472E" w:rsidRDefault="00DF472E" w:rsidP="00DF472E">
            <w:pPr>
              <w:rPr>
                <w:sz w:val="20"/>
              </w:rPr>
            </w:pPr>
            <w:r w:rsidRPr="00DF472E">
              <w:rPr>
                <w:sz w:val="20"/>
              </w:rPr>
              <w:t>Second Monitoring Period</w:t>
            </w:r>
          </w:p>
        </w:tc>
      </w:tr>
      <w:tr w:rsidR="00DF472E" w:rsidRPr="00DF472E" w14:paraId="43F714C2" w14:textId="77777777" w:rsidTr="009B2831">
        <w:trPr>
          <w:trHeight w:val="283"/>
        </w:trPr>
        <w:tc>
          <w:tcPr>
            <w:tcW w:w="3044" w:type="dxa"/>
          </w:tcPr>
          <w:p w14:paraId="22A69DB6" w14:textId="77777777" w:rsidR="00DF472E" w:rsidRPr="00DF472E" w:rsidRDefault="00DF472E" w:rsidP="00DF472E">
            <w:pPr>
              <w:rPr>
                <w:sz w:val="20"/>
              </w:rPr>
            </w:pPr>
            <w:r w:rsidRPr="00DF472E">
              <w:rPr>
                <w:sz w:val="20"/>
              </w:rPr>
              <w:t>22/02/2018</w:t>
            </w:r>
          </w:p>
        </w:tc>
        <w:tc>
          <w:tcPr>
            <w:tcW w:w="6585" w:type="dxa"/>
          </w:tcPr>
          <w:p w14:paraId="6CFD140C" w14:textId="77777777" w:rsidR="00DF472E" w:rsidRPr="00DF472E" w:rsidRDefault="00DF472E" w:rsidP="00DF472E">
            <w:pPr>
              <w:rPr>
                <w:sz w:val="20"/>
              </w:rPr>
            </w:pPr>
            <w:r w:rsidRPr="00DF472E">
              <w:rPr>
                <w:sz w:val="20"/>
              </w:rPr>
              <w:t>Second Issuance of CERs. Total amount: 5463</w:t>
            </w:r>
          </w:p>
        </w:tc>
      </w:tr>
      <w:tr w:rsidR="00DF472E" w:rsidRPr="00DF472E" w14:paraId="3C9903CF" w14:textId="77777777" w:rsidTr="009B2831">
        <w:trPr>
          <w:trHeight w:val="283"/>
        </w:trPr>
        <w:tc>
          <w:tcPr>
            <w:tcW w:w="3044" w:type="dxa"/>
          </w:tcPr>
          <w:p w14:paraId="78E42ED0" w14:textId="77777777" w:rsidR="00DF472E" w:rsidRPr="00DF472E" w:rsidRDefault="00DF472E" w:rsidP="00DF472E">
            <w:pPr>
              <w:rPr>
                <w:sz w:val="20"/>
              </w:rPr>
            </w:pPr>
            <w:r w:rsidRPr="00DF472E">
              <w:rPr>
                <w:sz w:val="20"/>
              </w:rPr>
              <w:t>31/12/2016 – 30/12/2018</w:t>
            </w:r>
          </w:p>
        </w:tc>
        <w:tc>
          <w:tcPr>
            <w:tcW w:w="6585" w:type="dxa"/>
          </w:tcPr>
          <w:p w14:paraId="64E4E7AF" w14:textId="77777777" w:rsidR="00DF472E" w:rsidRPr="00DF472E" w:rsidRDefault="00DF472E" w:rsidP="00DF472E">
            <w:pPr>
              <w:rPr>
                <w:sz w:val="20"/>
              </w:rPr>
            </w:pPr>
            <w:r w:rsidRPr="00DF472E">
              <w:rPr>
                <w:sz w:val="20"/>
              </w:rPr>
              <w:t>Third Monitoring Period</w:t>
            </w:r>
          </w:p>
        </w:tc>
      </w:tr>
      <w:tr w:rsidR="00DF472E" w:rsidRPr="00DF472E" w14:paraId="22C19246" w14:textId="77777777" w:rsidTr="009B2831">
        <w:trPr>
          <w:trHeight w:val="283"/>
        </w:trPr>
        <w:tc>
          <w:tcPr>
            <w:tcW w:w="3044" w:type="dxa"/>
          </w:tcPr>
          <w:p w14:paraId="5533F0DE" w14:textId="77777777" w:rsidR="00DF472E" w:rsidRPr="00DF472E" w:rsidRDefault="00DF472E" w:rsidP="00DF472E">
            <w:pPr>
              <w:rPr>
                <w:sz w:val="20"/>
              </w:rPr>
            </w:pPr>
            <w:r w:rsidRPr="00DF472E">
              <w:rPr>
                <w:sz w:val="20"/>
              </w:rPr>
              <w:t>23/09/2019</w:t>
            </w:r>
          </w:p>
        </w:tc>
        <w:tc>
          <w:tcPr>
            <w:tcW w:w="6585" w:type="dxa"/>
          </w:tcPr>
          <w:p w14:paraId="44AC583A" w14:textId="77777777" w:rsidR="00DF472E" w:rsidRPr="00DF472E" w:rsidRDefault="00DF472E" w:rsidP="00DF472E">
            <w:pPr>
              <w:rPr>
                <w:sz w:val="20"/>
              </w:rPr>
            </w:pPr>
            <w:r w:rsidRPr="00DF472E">
              <w:rPr>
                <w:sz w:val="20"/>
              </w:rPr>
              <w:t>Third Issuance of CERs. Total amount: 6746</w:t>
            </w:r>
          </w:p>
        </w:tc>
      </w:tr>
      <w:tr w:rsidR="00DF472E" w:rsidRPr="00DF472E" w14:paraId="28620BDF" w14:textId="77777777" w:rsidTr="009B2831">
        <w:trPr>
          <w:trHeight w:val="283"/>
        </w:trPr>
        <w:tc>
          <w:tcPr>
            <w:tcW w:w="3044" w:type="dxa"/>
          </w:tcPr>
          <w:p w14:paraId="77153BCD" w14:textId="77777777" w:rsidR="00DF472E" w:rsidRPr="00DF472E" w:rsidRDefault="00DF472E" w:rsidP="00DF472E">
            <w:pPr>
              <w:rPr>
                <w:sz w:val="20"/>
              </w:rPr>
            </w:pPr>
            <w:r w:rsidRPr="00DF472E">
              <w:rPr>
                <w:sz w:val="20"/>
              </w:rPr>
              <w:t>31/12/2018 – 30/12/2020</w:t>
            </w:r>
          </w:p>
        </w:tc>
        <w:tc>
          <w:tcPr>
            <w:tcW w:w="6585" w:type="dxa"/>
          </w:tcPr>
          <w:p w14:paraId="04A42668" w14:textId="347A6C26" w:rsidR="00DF472E" w:rsidRPr="00DF472E" w:rsidRDefault="00DF472E" w:rsidP="00DF472E">
            <w:pPr>
              <w:rPr>
                <w:sz w:val="20"/>
              </w:rPr>
            </w:pPr>
            <w:r w:rsidRPr="00DF472E">
              <w:rPr>
                <w:sz w:val="20"/>
              </w:rPr>
              <w:t>Fo</w:t>
            </w:r>
            <w:r w:rsidR="00700E2A">
              <w:rPr>
                <w:sz w:val="20"/>
              </w:rPr>
              <w:t>u</w:t>
            </w:r>
            <w:r w:rsidRPr="00DF472E">
              <w:rPr>
                <w:sz w:val="20"/>
              </w:rPr>
              <w:t>rth Monitoring Period</w:t>
            </w:r>
          </w:p>
        </w:tc>
      </w:tr>
    </w:tbl>
    <w:p w14:paraId="546E244E" w14:textId="77777777" w:rsidR="00DF472E" w:rsidRPr="00DF472E" w:rsidRDefault="00DF472E" w:rsidP="00DF472E">
      <w:pPr>
        <w:rPr>
          <w:rFonts w:cs="Arial"/>
          <w:u w:val="single"/>
        </w:rPr>
      </w:pPr>
    </w:p>
    <w:p w14:paraId="2073AA51" w14:textId="77777777" w:rsidR="00DF472E" w:rsidRPr="00DF472E" w:rsidRDefault="00DF472E" w:rsidP="00326F42">
      <w:pPr>
        <w:numPr>
          <w:ilvl w:val="0"/>
          <w:numId w:val="24"/>
        </w:numPr>
        <w:spacing w:after="0" w:line="240" w:lineRule="auto"/>
        <w:contextualSpacing w:val="0"/>
        <w:jc w:val="both"/>
        <w:rPr>
          <w:rFonts w:cs="Arial"/>
          <w:u w:val="single"/>
        </w:rPr>
      </w:pPr>
      <w:r w:rsidRPr="00DF472E">
        <w:rPr>
          <w:rFonts w:cs="Arial"/>
          <w:u w:val="single"/>
        </w:rPr>
        <w:t>Total GHG emission reductions or net anthropogenic GHG removals by sinks achieved in this monitoring period</w:t>
      </w:r>
    </w:p>
    <w:p w14:paraId="1059A112" w14:textId="77777777" w:rsidR="00DF472E" w:rsidRPr="00DF472E" w:rsidRDefault="00DF472E" w:rsidP="00DF472E">
      <w:pPr>
        <w:spacing w:after="0" w:line="240" w:lineRule="auto"/>
        <w:ind w:left="720"/>
        <w:contextualSpacing w:val="0"/>
        <w:jc w:val="both"/>
        <w:rPr>
          <w:rFonts w:cs="Arial"/>
          <w:u w:val="single"/>
        </w:rPr>
      </w:pPr>
    </w:p>
    <w:p w14:paraId="31751EA0" w14:textId="6AB81186" w:rsidR="00816579" w:rsidRPr="003B1DEE" w:rsidRDefault="00DF472E" w:rsidP="00816579">
      <w:r w:rsidRPr="00DF472E">
        <w:rPr>
          <w:rFonts w:cs="Arial"/>
        </w:rPr>
        <w:t xml:space="preserve">Total: </w:t>
      </w:r>
      <w:r w:rsidRPr="00D265E2">
        <w:rPr>
          <w:b/>
          <w:sz w:val="20"/>
        </w:rPr>
        <w:t>7</w:t>
      </w:r>
      <w:r w:rsidR="00E85DD5">
        <w:rPr>
          <w:b/>
          <w:sz w:val="20"/>
        </w:rPr>
        <w:t>,419</w:t>
      </w:r>
      <w:r w:rsidRPr="00D265E2">
        <w:rPr>
          <w:b/>
          <w:sz w:val="20"/>
        </w:rPr>
        <w:t xml:space="preserve"> </w:t>
      </w:r>
      <w:r w:rsidRPr="00D265E2">
        <w:rPr>
          <w:rFonts w:cs="Arial"/>
          <w:b/>
        </w:rPr>
        <w:t>tCO</w:t>
      </w:r>
      <w:r w:rsidRPr="00D265E2">
        <w:rPr>
          <w:rFonts w:cs="Arial"/>
          <w:b/>
          <w:vertAlign w:val="subscript"/>
        </w:rPr>
        <w:t>2e</w:t>
      </w:r>
    </w:p>
    <w:p w14:paraId="7524B5C4" w14:textId="30CBAC2A" w:rsidR="00816579" w:rsidRDefault="00465B23" w:rsidP="00465B23">
      <w:pPr>
        <w:pStyle w:val="Heading5"/>
      </w:pPr>
      <w:bookmarkStart w:id="2" w:name="_Toc40962735"/>
      <w:r>
        <w:t xml:space="preserve">A.2. </w:t>
      </w:r>
      <w:r w:rsidR="00816579" w:rsidRPr="00241108">
        <w:t>Location of project</w:t>
      </w:r>
      <w:bookmarkEnd w:id="2"/>
      <w:r w:rsidR="00816579" w:rsidRPr="00241108">
        <w:t xml:space="preserve"> </w:t>
      </w:r>
    </w:p>
    <w:p w14:paraId="109883CE" w14:textId="77777777" w:rsidR="00DF472E" w:rsidRPr="00DF472E" w:rsidRDefault="00DF472E" w:rsidP="00DF472E"/>
    <w:p w14:paraId="5612BAD4" w14:textId="090AF717" w:rsidR="00DF472E" w:rsidRPr="00DF472E" w:rsidRDefault="00DF472E" w:rsidP="00326F42">
      <w:pPr>
        <w:numPr>
          <w:ilvl w:val="0"/>
          <w:numId w:val="25"/>
        </w:numPr>
        <w:spacing w:after="0" w:line="240" w:lineRule="auto"/>
        <w:contextualSpacing w:val="0"/>
        <w:jc w:val="both"/>
        <w:rPr>
          <w:rFonts w:cs="Arial"/>
          <w:u w:val="single"/>
        </w:rPr>
      </w:pPr>
      <w:r w:rsidRPr="00DF472E">
        <w:rPr>
          <w:rFonts w:cs="Arial"/>
          <w:u w:val="single"/>
        </w:rPr>
        <w:t>Host party(ies)</w:t>
      </w:r>
    </w:p>
    <w:p w14:paraId="27963162" w14:textId="77777777" w:rsidR="00DF472E" w:rsidRPr="00DF472E" w:rsidRDefault="00DF472E" w:rsidP="00DF472E">
      <w:pPr>
        <w:spacing w:after="0" w:line="240" w:lineRule="auto"/>
        <w:ind w:left="720"/>
        <w:contextualSpacing w:val="0"/>
        <w:jc w:val="both"/>
        <w:rPr>
          <w:rFonts w:cs="Arial"/>
          <w:u w:val="single"/>
        </w:rPr>
      </w:pPr>
    </w:p>
    <w:p w14:paraId="47F13253" w14:textId="77777777" w:rsidR="00DF472E" w:rsidRPr="00DF472E" w:rsidRDefault="00DF472E" w:rsidP="00DF472E">
      <w:pPr>
        <w:spacing w:before="240"/>
        <w:rPr>
          <w:rFonts w:cs="Arial"/>
        </w:rPr>
      </w:pPr>
      <w:r w:rsidRPr="00DF472E">
        <w:rPr>
          <w:rFonts w:cs="Arial"/>
        </w:rPr>
        <w:t>Republic of Kenya</w:t>
      </w:r>
    </w:p>
    <w:p w14:paraId="0B247D10" w14:textId="77777777" w:rsidR="00DF472E" w:rsidRPr="00DF472E" w:rsidRDefault="00DF472E" w:rsidP="00DF472E">
      <w:pPr>
        <w:rPr>
          <w:rFonts w:cs="Arial"/>
        </w:rPr>
      </w:pPr>
    </w:p>
    <w:p w14:paraId="11DE794D" w14:textId="77777777" w:rsidR="00DF472E" w:rsidRPr="00DF472E" w:rsidRDefault="00DF472E" w:rsidP="00326F42">
      <w:pPr>
        <w:numPr>
          <w:ilvl w:val="0"/>
          <w:numId w:val="25"/>
        </w:numPr>
        <w:spacing w:after="0" w:line="240" w:lineRule="auto"/>
        <w:contextualSpacing w:val="0"/>
        <w:jc w:val="both"/>
        <w:rPr>
          <w:rFonts w:cs="Arial"/>
          <w:u w:val="single"/>
        </w:rPr>
      </w:pPr>
      <w:r w:rsidRPr="00DF472E">
        <w:rPr>
          <w:rFonts w:cs="Arial"/>
          <w:u w:val="single"/>
        </w:rPr>
        <w:t>Region/State/Province</w:t>
      </w:r>
    </w:p>
    <w:p w14:paraId="1EE03213" w14:textId="77777777" w:rsidR="00DF472E" w:rsidRPr="00DF472E" w:rsidRDefault="00DF472E" w:rsidP="00DF472E">
      <w:pPr>
        <w:spacing w:after="0" w:line="240" w:lineRule="auto"/>
        <w:ind w:left="720"/>
        <w:contextualSpacing w:val="0"/>
        <w:jc w:val="both"/>
        <w:rPr>
          <w:rFonts w:cs="Arial"/>
          <w:u w:val="single"/>
        </w:rPr>
      </w:pPr>
    </w:p>
    <w:p w14:paraId="19EDD819" w14:textId="77777777" w:rsidR="00DF472E" w:rsidRPr="00DF472E" w:rsidRDefault="00DF472E" w:rsidP="00DF472E">
      <w:pPr>
        <w:spacing w:before="240"/>
        <w:rPr>
          <w:rFonts w:cs="Arial"/>
        </w:rPr>
      </w:pPr>
      <w:r w:rsidRPr="00DF472E">
        <w:rPr>
          <w:rFonts w:cs="Arial"/>
        </w:rPr>
        <w:t>The project region is Nairobi River Basin located in the Central Province. The administrative border of the project activity is Kiambu county.</w:t>
      </w:r>
    </w:p>
    <w:p w14:paraId="5487FEB6" w14:textId="77777777" w:rsidR="00DF472E" w:rsidRPr="00DF472E" w:rsidRDefault="00DF472E" w:rsidP="00DF472E">
      <w:pPr>
        <w:rPr>
          <w:rFonts w:cs="Arial"/>
        </w:rPr>
      </w:pPr>
    </w:p>
    <w:p w14:paraId="00437ED6" w14:textId="77777777" w:rsidR="00DF472E" w:rsidRPr="00DF472E" w:rsidRDefault="00DF472E" w:rsidP="00326F42">
      <w:pPr>
        <w:numPr>
          <w:ilvl w:val="0"/>
          <w:numId w:val="25"/>
        </w:numPr>
        <w:spacing w:after="0" w:line="240" w:lineRule="auto"/>
        <w:contextualSpacing w:val="0"/>
        <w:jc w:val="both"/>
        <w:rPr>
          <w:rFonts w:cs="Arial"/>
          <w:u w:val="single"/>
        </w:rPr>
      </w:pPr>
      <w:r w:rsidRPr="00DF472E">
        <w:rPr>
          <w:rFonts w:cs="Arial"/>
          <w:u w:val="single"/>
        </w:rPr>
        <w:t>City/Town/Community</w:t>
      </w:r>
    </w:p>
    <w:p w14:paraId="38658EBE" w14:textId="77777777" w:rsidR="00DF472E" w:rsidRPr="00DF472E" w:rsidRDefault="00DF472E" w:rsidP="00DF472E">
      <w:pPr>
        <w:spacing w:after="0" w:line="240" w:lineRule="auto"/>
        <w:ind w:left="720"/>
        <w:contextualSpacing w:val="0"/>
        <w:jc w:val="both"/>
        <w:rPr>
          <w:rFonts w:cs="Arial"/>
          <w:u w:val="single"/>
        </w:rPr>
      </w:pPr>
    </w:p>
    <w:p w14:paraId="2B21CEF1" w14:textId="37004FCC" w:rsidR="00DF472E" w:rsidRDefault="00DF472E" w:rsidP="00DF472E">
      <w:pPr>
        <w:spacing w:before="240"/>
        <w:rPr>
          <w:rFonts w:cs="Arial"/>
          <w:szCs w:val="22"/>
        </w:rPr>
      </w:pPr>
      <w:r w:rsidRPr="00DF472E">
        <w:rPr>
          <w:rFonts w:cs="Arial"/>
          <w:szCs w:val="22"/>
        </w:rPr>
        <w:lastRenderedPageBreak/>
        <w:t>Due to its nature (Domestic biogas), the project activity will be implemented in many locations within the administrative borders of Kiambu county at households willing to participate in the project with at least two cows in their premises.</w:t>
      </w:r>
    </w:p>
    <w:p w14:paraId="7FAAF060" w14:textId="6AF6C9B8" w:rsidR="00DF472E" w:rsidRDefault="00DF472E" w:rsidP="00DF472E">
      <w:pPr>
        <w:spacing w:before="240"/>
        <w:rPr>
          <w:rFonts w:cs="Arial"/>
          <w:szCs w:val="22"/>
        </w:rPr>
      </w:pPr>
    </w:p>
    <w:p w14:paraId="18A59427" w14:textId="2D0AAA0F" w:rsidR="009B2831" w:rsidRDefault="009B2831" w:rsidP="00DF472E">
      <w:pPr>
        <w:spacing w:before="240"/>
        <w:rPr>
          <w:rFonts w:cs="Arial"/>
          <w:szCs w:val="22"/>
        </w:rPr>
      </w:pPr>
    </w:p>
    <w:p w14:paraId="0D2AD90B" w14:textId="77777777" w:rsidR="009B2831" w:rsidRPr="00DF472E" w:rsidRDefault="009B2831" w:rsidP="00DF472E">
      <w:pPr>
        <w:spacing w:before="240"/>
        <w:rPr>
          <w:rFonts w:cs="Arial"/>
          <w:szCs w:val="22"/>
        </w:rPr>
      </w:pPr>
    </w:p>
    <w:p w14:paraId="08FFE050" w14:textId="77777777" w:rsidR="00DF472E" w:rsidRPr="00DF472E" w:rsidRDefault="00DF472E" w:rsidP="00326F42">
      <w:pPr>
        <w:numPr>
          <w:ilvl w:val="0"/>
          <w:numId w:val="26"/>
        </w:numPr>
        <w:spacing w:after="0" w:line="240" w:lineRule="auto"/>
        <w:contextualSpacing w:val="0"/>
        <w:jc w:val="both"/>
        <w:rPr>
          <w:rFonts w:cs="Arial"/>
          <w:u w:val="single"/>
        </w:rPr>
      </w:pPr>
      <w:r w:rsidRPr="00DF472E">
        <w:rPr>
          <w:rFonts w:cs="Arial"/>
          <w:u w:val="single"/>
        </w:rPr>
        <w:t>Physical/ Geographical location</w:t>
      </w:r>
    </w:p>
    <w:p w14:paraId="5B4D17CE" w14:textId="77777777" w:rsidR="00DF472E" w:rsidRPr="00DF472E" w:rsidRDefault="00DF472E" w:rsidP="00DF472E">
      <w:pPr>
        <w:spacing w:after="0" w:line="240" w:lineRule="auto"/>
        <w:ind w:left="720"/>
        <w:contextualSpacing w:val="0"/>
        <w:jc w:val="both"/>
        <w:rPr>
          <w:rFonts w:cs="Arial"/>
          <w:u w:val="single"/>
        </w:rPr>
      </w:pPr>
    </w:p>
    <w:p w14:paraId="37972343" w14:textId="77777777" w:rsidR="00DF472E" w:rsidRPr="00DF472E" w:rsidRDefault="00DF472E" w:rsidP="00DF472E">
      <w:pPr>
        <w:spacing w:before="240"/>
        <w:rPr>
          <w:rFonts w:eastAsia="MS Mincho" w:cs="Arial"/>
          <w:color w:val="515151" w:themeColor="text1"/>
          <w:szCs w:val="22"/>
          <w:lang w:eastAsia="en-GB"/>
        </w:rPr>
      </w:pPr>
      <w:r w:rsidRPr="00DF472E">
        <w:rPr>
          <w:rFonts w:eastAsia="MS Mincho" w:cs="Arial"/>
          <w:color w:val="515151" w:themeColor="text1"/>
          <w:szCs w:val="22"/>
          <w:lang w:eastAsia="en-GB"/>
        </w:rPr>
        <w:t>The coordinates of the first commissioned biogas units, located in Thogoto in the close proximity to Kikuyu town, are used to represent the physical location of the project activity:</w:t>
      </w:r>
    </w:p>
    <w:p w14:paraId="3C308A9F" w14:textId="77777777" w:rsidR="00DF472E" w:rsidRPr="00DF472E" w:rsidRDefault="00DF472E" w:rsidP="00DF472E">
      <w:pPr>
        <w:ind w:left="360"/>
        <w:rPr>
          <w:rFonts w:eastAsia="MS Mincho" w:cs="Arial"/>
          <w:color w:val="515151" w:themeColor="text1"/>
          <w:szCs w:val="22"/>
          <w:lang w:eastAsia="en-GB"/>
        </w:rPr>
      </w:pPr>
      <w:r w:rsidRPr="00DF472E">
        <w:rPr>
          <w:rFonts w:eastAsia="MS Mincho" w:cs="Arial"/>
          <w:color w:val="515151" w:themeColor="text1"/>
          <w:szCs w:val="22"/>
          <w:lang w:eastAsia="en-GB"/>
        </w:rPr>
        <w:t>Latitude: 1° 14’ 45’’ S</w:t>
      </w:r>
    </w:p>
    <w:p w14:paraId="2D42C1F7" w14:textId="77777777" w:rsidR="00DF472E" w:rsidRPr="00DF472E" w:rsidRDefault="00DF472E" w:rsidP="00DF472E">
      <w:pPr>
        <w:ind w:left="360"/>
        <w:rPr>
          <w:rFonts w:eastAsia="MS Mincho" w:cs="Arial"/>
          <w:color w:val="515151" w:themeColor="text1"/>
          <w:szCs w:val="22"/>
          <w:lang w:eastAsia="en-GB"/>
        </w:rPr>
      </w:pPr>
      <w:r w:rsidRPr="00DF472E">
        <w:rPr>
          <w:rFonts w:eastAsia="MS Mincho" w:cs="Arial"/>
          <w:color w:val="515151" w:themeColor="text1"/>
          <w:szCs w:val="22"/>
          <w:lang w:eastAsia="en-GB"/>
        </w:rPr>
        <w:t>Longitude: 36° 39’ 55’’ E</w:t>
      </w:r>
    </w:p>
    <w:p w14:paraId="7517F027" w14:textId="77777777" w:rsidR="00DF472E" w:rsidRPr="00DF472E" w:rsidRDefault="00DF472E" w:rsidP="00DF472E">
      <w:pPr>
        <w:ind w:left="360"/>
        <w:rPr>
          <w:rFonts w:eastAsia="MS Mincho" w:cs="Arial"/>
          <w:color w:val="515151" w:themeColor="text1"/>
          <w:szCs w:val="22"/>
          <w:lang w:eastAsia="en-GB"/>
        </w:rPr>
      </w:pPr>
    </w:p>
    <w:p w14:paraId="3264F6B0" w14:textId="77777777" w:rsidR="00DF472E" w:rsidRPr="00DF472E" w:rsidRDefault="00DF472E" w:rsidP="00DF472E">
      <w:pPr>
        <w:rPr>
          <w:rFonts w:eastAsia="MS Mincho" w:cs="Arial"/>
          <w:color w:val="515151" w:themeColor="text1"/>
          <w:szCs w:val="22"/>
          <w:lang w:eastAsia="en-GB"/>
        </w:rPr>
      </w:pPr>
      <w:r w:rsidRPr="00DF472E">
        <w:rPr>
          <w:rFonts w:eastAsia="MS Mincho" w:cs="Arial"/>
          <w:color w:val="515151" w:themeColor="text1"/>
          <w:szCs w:val="22"/>
          <w:lang w:eastAsia="en-GB"/>
        </w:rPr>
        <w:t>The following districts and all settlements within these districts belong to Kiambu county:</w:t>
      </w:r>
    </w:p>
    <w:p w14:paraId="665894C7" w14:textId="77777777" w:rsidR="00DF472E" w:rsidRPr="00DF472E" w:rsidRDefault="00DF472E" w:rsidP="00DF472E">
      <w:pPr>
        <w:rPr>
          <w:rFonts w:eastAsia="MS Mincho" w:cs="Arial"/>
          <w:color w:val="515151" w:themeColor="text1"/>
          <w:szCs w:val="22"/>
          <w:lang w:eastAsia="en-GB"/>
        </w:rPr>
      </w:pPr>
      <w:r w:rsidRPr="00DF472E">
        <w:rPr>
          <w:rFonts w:eastAsia="MS Mincho" w:cs="Arial"/>
          <w:color w:val="515151" w:themeColor="text1"/>
          <w:szCs w:val="22"/>
          <w:lang w:eastAsia="en-GB"/>
        </w:rPr>
        <w:t>Lari, Gatundu North, Gatundu, Thika West, Thika East, Limuru, Githunguri, Ruiru, Kiambu, Kabete</w:t>
      </w:r>
    </w:p>
    <w:p w14:paraId="6F508423" w14:textId="77777777" w:rsidR="00DF472E" w:rsidRPr="00DF472E" w:rsidRDefault="00DF472E" w:rsidP="00DF472E">
      <w:pPr>
        <w:ind w:left="360"/>
        <w:rPr>
          <w:rFonts w:eastAsia="MS Mincho" w:cs="Arial"/>
          <w:color w:val="515151" w:themeColor="text1"/>
          <w:szCs w:val="22"/>
          <w:lang w:eastAsia="en-GB"/>
        </w:rPr>
      </w:pPr>
    </w:p>
    <w:p w14:paraId="1C5E11A6" w14:textId="5F9B930B" w:rsidR="00816579" w:rsidRPr="00DF472E" w:rsidRDefault="00DF472E" w:rsidP="00816579">
      <w:pPr>
        <w:rPr>
          <w:rFonts w:cs="Arial"/>
          <w:color w:val="515151" w:themeColor="text1"/>
        </w:rPr>
      </w:pPr>
      <w:r w:rsidRPr="00DF472E">
        <w:rPr>
          <w:rFonts w:eastAsia="MS Mincho" w:cs="Arial"/>
          <w:color w:val="515151" w:themeColor="text1"/>
          <w:szCs w:val="22"/>
          <w:lang w:eastAsia="en-GB"/>
        </w:rPr>
        <w:t>It will be ensured that each biogas unit can be uniquely identified by end user agreements where name and contact details are provided.</w:t>
      </w:r>
    </w:p>
    <w:p w14:paraId="5FD7C114" w14:textId="33AE4FF4" w:rsidR="00816579" w:rsidRPr="00865E76" w:rsidRDefault="00465B23" w:rsidP="00465B23">
      <w:pPr>
        <w:pStyle w:val="Heading5"/>
      </w:pPr>
      <w:bookmarkStart w:id="3" w:name="_Toc40962736"/>
      <w:r>
        <w:t xml:space="preserve">A.3. </w:t>
      </w:r>
      <w:r w:rsidR="00816579" w:rsidRPr="00241108">
        <w:t>Reference of applied methodology</w:t>
      </w:r>
      <w:bookmarkEnd w:id="3"/>
      <w:r w:rsidR="00816579" w:rsidRPr="00241108">
        <w:t xml:space="preserve"> </w:t>
      </w:r>
    </w:p>
    <w:p w14:paraId="06485312" w14:textId="77777777" w:rsidR="00DF472E" w:rsidRDefault="00DF472E" w:rsidP="00DF472E"/>
    <w:p w14:paraId="0219D885" w14:textId="261171D2" w:rsidR="00DF472E" w:rsidRPr="00DF472E" w:rsidRDefault="00DF472E" w:rsidP="00DF472E">
      <w:pPr>
        <w:rPr>
          <w:rFonts w:cs="Arial"/>
        </w:rPr>
      </w:pPr>
      <w:r w:rsidRPr="00DF472E">
        <w:rPr>
          <w:rFonts w:cs="Arial"/>
        </w:rPr>
        <w:t>AMS-I.E.: Switch from non-renewable biomass for thermal applications by the user (Version 4.0)</w:t>
      </w:r>
    </w:p>
    <w:p w14:paraId="731709CF" w14:textId="34941FCA" w:rsidR="00816579" w:rsidRPr="00816579" w:rsidRDefault="00DF472E" w:rsidP="00DF472E">
      <w:r w:rsidRPr="00DF472E">
        <w:rPr>
          <w:rFonts w:cs="Arial"/>
          <w:szCs w:val="22"/>
        </w:rPr>
        <w:t>UNFCCC link:</w:t>
      </w:r>
      <w:r w:rsidRPr="00DF472E">
        <w:rPr>
          <w:rFonts w:cs="Arial"/>
        </w:rPr>
        <w:t xml:space="preserve"> </w:t>
      </w:r>
      <w:hyperlink r:id="rId13" w:history="1">
        <w:r w:rsidRPr="00DF472E">
          <w:rPr>
            <w:rFonts w:asciiTheme="minorHAnsi" w:hAnsiTheme="minorHAnsi" w:cs="Arial"/>
            <w:color w:val="00B9BD" w:themeColor="hyperlink"/>
            <w:u w:val="single"/>
          </w:rPr>
          <w:t>https://cdm.unfccc.int/methodologies/DB/WHTQUFLWCVNB9CIUZC198A712WGQR4</w:t>
        </w:r>
      </w:hyperlink>
    </w:p>
    <w:p w14:paraId="55E03977" w14:textId="4780F006" w:rsidR="00816579" w:rsidRDefault="00465B23" w:rsidP="00465B23">
      <w:pPr>
        <w:pStyle w:val="Heading5"/>
      </w:pPr>
      <w:bookmarkStart w:id="4" w:name="_Toc40962737"/>
      <w:r>
        <w:t xml:space="preserve">A.4. </w:t>
      </w:r>
      <w:r w:rsidR="00816579" w:rsidRPr="00241108">
        <w:t>Crediting period of project</w:t>
      </w:r>
      <w:bookmarkEnd w:id="4"/>
      <w:r w:rsidR="00816579" w:rsidRPr="00241108">
        <w:t xml:space="preserve"> </w:t>
      </w:r>
    </w:p>
    <w:p w14:paraId="065FB7BF" w14:textId="77777777" w:rsidR="006E1D75" w:rsidRDefault="006E1D75" w:rsidP="006E1D75"/>
    <w:p w14:paraId="48604BDE" w14:textId="66A94241" w:rsidR="006E1D75" w:rsidRPr="006E1D75" w:rsidRDefault="006E1D75" w:rsidP="006E1D75">
      <w:pPr>
        <w:rPr>
          <w:rFonts w:cs="Arial"/>
        </w:rPr>
      </w:pPr>
      <w:r w:rsidRPr="006E1D75">
        <w:rPr>
          <w:rFonts w:cs="Arial"/>
        </w:rPr>
        <w:t>Fixed crediting period (10 years)</w:t>
      </w:r>
    </w:p>
    <w:p w14:paraId="314B6894" w14:textId="420B28B8" w:rsidR="006E1D75" w:rsidRPr="006E1D75" w:rsidRDefault="006E1D75" w:rsidP="006E1D75">
      <w:pPr>
        <w:rPr>
          <w:rFonts w:cs="Arial"/>
        </w:rPr>
      </w:pPr>
      <w:r w:rsidRPr="006E1D75">
        <w:rPr>
          <w:rFonts w:cs="Arial"/>
        </w:rPr>
        <w:t>Start date of crediting period: 31/12/2012</w:t>
      </w:r>
    </w:p>
    <w:p w14:paraId="34F7C2F1" w14:textId="77777777" w:rsidR="006E1D75" w:rsidRPr="006E1D75" w:rsidRDefault="006E1D75" w:rsidP="006E1D75">
      <w:pPr>
        <w:rPr>
          <w:rFonts w:cs="Arial"/>
          <w:u w:val="single"/>
        </w:rPr>
      </w:pPr>
      <w:r w:rsidRPr="006E1D75">
        <w:rPr>
          <w:rFonts w:cs="Arial"/>
        </w:rPr>
        <w:t>End date of crediting period:   30/12/2022</w:t>
      </w:r>
    </w:p>
    <w:p w14:paraId="16098065" w14:textId="385F62D5" w:rsidR="00816579" w:rsidRDefault="00816579" w:rsidP="00816579"/>
    <w:p w14:paraId="03F28042" w14:textId="1546962B" w:rsidR="00E51EF3" w:rsidRPr="003B1DEE" w:rsidRDefault="00E51EF3" w:rsidP="00E51EF3">
      <w:pPr>
        <w:spacing w:line="276" w:lineRule="auto"/>
        <w:contextualSpacing w:val="0"/>
      </w:pPr>
      <w:r>
        <w:br w:type="page"/>
      </w:r>
    </w:p>
    <w:p w14:paraId="058F6754" w14:textId="6F3CB08C" w:rsidR="00816579" w:rsidRPr="00241108" w:rsidRDefault="00465B23" w:rsidP="00465B23">
      <w:pPr>
        <w:pStyle w:val="Heading4"/>
      </w:pPr>
      <w:bookmarkStart w:id="5" w:name="_Toc40962738"/>
      <w:bookmarkStart w:id="6" w:name="_Ref47706306"/>
      <w:bookmarkStart w:id="7" w:name="_Ref49860659"/>
      <w:r>
        <w:lastRenderedPageBreak/>
        <w:t xml:space="preserve">SECTION B. </w:t>
      </w:r>
      <w:r w:rsidR="00816579" w:rsidRPr="00465B23">
        <w:t>IMPLEMENTATION</w:t>
      </w:r>
      <w:r w:rsidR="00816579" w:rsidRPr="00241108">
        <w:t xml:space="preserve"> OF PROJECT</w:t>
      </w:r>
      <w:bookmarkEnd w:id="5"/>
      <w:bookmarkEnd w:id="6"/>
      <w:bookmarkEnd w:id="7"/>
      <w:r w:rsidR="00816579" w:rsidRPr="00241108">
        <w:t xml:space="preserve"> </w:t>
      </w:r>
    </w:p>
    <w:p w14:paraId="697BC3AD" w14:textId="0FFF11E4" w:rsidR="00816579" w:rsidRDefault="00465B23" w:rsidP="00465B23">
      <w:pPr>
        <w:pStyle w:val="Heading5"/>
      </w:pPr>
      <w:bookmarkStart w:id="8" w:name="_Toc40962739"/>
      <w:bookmarkStart w:id="9" w:name="_Ref418094175"/>
      <w:r>
        <w:t xml:space="preserve">B.1. </w:t>
      </w:r>
      <w:r w:rsidR="00816579" w:rsidRPr="00241108">
        <w:t>Description of implemented project</w:t>
      </w:r>
      <w:bookmarkEnd w:id="8"/>
      <w:r w:rsidR="00816579" w:rsidRPr="00241108">
        <w:t xml:space="preserve"> </w:t>
      </w:r>
      <w:bookmarkEnd w:id="9"/>
    </w:p>
    <w:p w14:paraId="424E41A4" w14:textId="120A4C57" w:rsidR="007F2B0E" w:rsidRPr="007F2B0E" w:rsidRDefault="007F2B0E" w:rsidP="007F2B0E"/>
    <w:p w14:paraId="4F390DDD" w14:textId="77777777" w:rsidR="007F2B0E" w:rsidRPr="007F2B0E" w:rsidRDefault="007F2B0E" w:rsidP="00326F42">
      <w:pPr>
        <w:numPr>
          <w:ilvl w:val="0"/>
          <w:numId w:val="27"/>
        </w:numPr>
        <w:spacing w:after="0" w:line="240" w:lineRule="auto"/>
        <w:jc w:val="both"/>
        <w:rPr>
          <w:rFonts w:cs="Arial"/>
          <w:u w:val="single"/>
        </w:rPr>
      </w:pPr>
      <w:r w:rsidRPr="007F2B0E">
        <w:rPr>
          <w:rFonts w:cs="Arial"/>
          <w:u w:val="single"/>
        </w:rPr>
        <w:t>Description of installed technology, technical processes and equipment</w:t>
      </w:r>
    </w:p>
    <w:p w14:paraId="5AD5B698" w14:textId="77777777" w:rsidR="007F2B0E" w:rsidRPr="007F2B0E" w:rsidRDefault="007F2B0E" w:rsidP="007F2B0E">
      <w:pPr>
        <w:spacing w:after="0" w:line="240" w:lineRule="auto"/>
        <w:ind w:left="644"/>
        <w:jc w:val="both"/>
        <w:rPr>
          <w:rFonts w:cs="Arial"/>
          <w:u w:val="single"/>
        </w:rPr>
      </w:pPr>
    </w:p>
    <w:p w14:paraId="53CAC0DB" w14:textId="77777777" w:rsidR="007F2B0E" w:rsidRPr="007F2B0E" w:rsidRDefault="007F2B0E" w:rsidP="007F2B0E">
      <w:pPr>
        <w:spacing w:before="240"/>
        <w:rPr>
          <w:rFonts w:cs="Arial"/>
        </w:rPr>
      </w:pPr>
      <w:r w:rsidRPr="007F2B0E">
        <w:rPr>
          <w:rFonts w:cs="Arial"/>
        </w:rPr>
        <w:t xml:space="preserve">Action for Food Production (AFPRO, http://www.afpro.org), an Indian socio-technical non-governmental organization, designed the Deenbandhu domestic biogas model. AFPRO works for the development of the rural poor through effective natural resource management solutions. AFPRO developed several domestic biogas digester types since </w:t>
      </w:r>
    </w:p>
    <w:p w14:paraId="24557105" w14:textId="77777777" w:rsidR="007F2B0E" w:rsidRPr="007F2B0E" w:rsidRDefault="007F2B0E" w:rsidP="007F2B0E">
      <w:pPr>
        <w:spacing w:before="240"/>
        <w:rPr>
          <w:rFonts w:cs="Arial"/>
        </w:rPr>
      </w:pPr>
      <w:r w:rsidRPr="007F2B0E">
        <w:rPr>
          <w:rFonts w:cs="Arial"/>
        </w:rPr>
        <w:t>the 1970s. In the year 2000, AFPRO improved the fixed dome Deenbandhu model of the Deenbandhu model 2000:</w:t>
      </w:r>
    </w:p>
    <w:p w14:paraId="4C0EAC99" w14:textId="0DEDE025" w:rsidR="00816579" w:rsidRPr="003B1DEE" w:rsidRDefault="007F2B0E" w:rsidP="00816579">
      <w:r>
        <w:rPr>
          <w:noProof/>
          <w:lang w:val="de-DE" w:eastAsia="de-DE"/>
        </w:rPr>
        <w:drawing>
          <wp:anchor distT="0" distB="0" distL="114300" distR="114300" simplePos="0" relativeHeight="251659264" behindDoc="1" locked="0" layoutInCell="1" allowOverlap="1" wp14:anchorId="79BC9DF1" wp14:editId="540410B9">
            <wp:simplePos x="0" y="0"/>
            <wp:positionH relativeFrom="margin">
              <wp:posOffset>0</wp:posOffset>
            </wp:positionH>
            <wp:positionV relativeFrom="paragraph">
              <wp:posOffset>381000</wp:posOffset>
            </wp:positionV>
            <wp:extent cx="6123940" cy="3087370"/>
            <wp:effectExtent l="0" t="0" r="0" b="0"/>
            <wp:wrapTight wrapText="bothSides">
              <wp:wrapPolygon edited="0">
                <wp:start x="0" y="0"/>
                <wp:lineTo x="0" y="21458"/>
                <wp:lineTo x="21501" y="21458"/>
                <wp:lineTo x="21501" y="0"/>
                <wp:lineTo x="0" y="0"/>
              </wp:wrapPolygon>
            </wp:wrapTight>
            <wp:docPr id="2" name="Bild 3" descr="biogas tank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gas tank [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3940" cy="3087370"/>
                    </a:xfrm>
                    <a:prstGeom prst="rect">
                      <a:avLst/>
                    </a:prstGeom>
                    <a:noFill/>
                  </pic:spPr>
                </pic:pic>
              </a:graphicData>
            </a:graphic>
            <wp14:sizeRelH relativeFrom="page">
              <wp14:pctWidth>0</wp14:pctWidth>
            </wp14:sizeRelH>
            <wp14:sizeRelV relativeFrom="page">
              <wp14:pctHeight>0</wp14:pctHeight>
            </wp14:sizeRelV>
          </wp:anchor>
        </w:drawing>
      </w:r>
    </w:p>
    <w:bookmarkStart w:id="10" w:name="_Toc40962740"/>
    <w:p w14:paraId="33C33D03" w14:textId="62FCE5FB" w:rsidR="007F2B0E" w:rsidRPr="0015085A" w:rsidRDefault="007F2B0E" w:rsidP="0015085A">
      <w:pPr>
        <w:pStyle w:val="Heading5"/>
      </w:pPr>
      <w:r>
        <w:rPr>
          <w:noProof/>
          <w:lang w:val="de-DE" w:eastAsia="de-DE"/>
        </w:rPr>
        <mc:AlternateContent>
          <mc:Choice Requires="wps">
            <w:drawing>
              <wp:anchor distT="0" distB="0" distL="114300" distR="114300" simplePos="0" relativeHeight="251661312" behindDoc="1" locked="0" layoutInCell="1" allowOverlap="1" wp14:anchorId="6459D24D" wp14:editId="64E5C736">
                <wp:simplePos x="0" y="0"/>
                <wp:positionH relativeFrom="margin">
                  <wp:posOffset>0</wp:posOffset>
                </wp:positionH>
                <wp:positionV relativeFrom="paragraph">
                  <wp:posOffset>3321050</wp:posOffset>
                </wp:positionV>
                <wp:extent cx="6568440" cy="209550"/>
                <wp:effectExtent l="0" t="0" r="3810" b="0"/>
                <wp:wrapTight wrapText="bothSides">
                  <wp:wrapPolygon edited="0">
                    <wp:start x="0" y="0"/>
                    <wp:lineTo x="0" y="19636"/>
                    <wp:lineTo x="21550" y="19636"/>
                    <wp:lineTo x="21550" y="0"/>
                    <wp:lineTo x="0" y="0"/>
                  </wp:wrapPolygon>
                </wp:wrapTight>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209550"/>
                        </a:xfrm>
                        <a:prstGeom prst="rect">
                          <a:avLst/>
                        </a:prstGeom>
                        <a:solidFill>
                          <a:prstClr val="white"/>
                        </a:solidFill>
                        <a:ln>
                          <a:noFill/>
                        </a:ln>
                        <a:effectLst/>
                      </wps:spPr>
                      <wps:txbx>
                        <w:txbxContent>
                          <w:p w14:paraId="7306FC13" w14:textId="77777777" w:rsidR="00B81D0C" w:rsidRPr="00DB6277" w:rsidRDefault="00B81D0C" w:rsidP="007F2B0E">
                            <w:pPr>
                              <w:pStyle w:val="Caption"/>
                              <w:spacing w:before="0" w:after="0"/>
                              <w:rPr>
                                <w:noProof/>
                              </w:rPr>
                            </w:pPr>
                            <w:r>
                              <w:t xml:space="preserve">Figure </w:t>
                            </w:r>
                            <w:fldSimple w:instr=" SEQ Figure \* ARABIC ">
                              <w:r>
                                <w:rPr>
                                  <w:noProof/>
                                </w:rPr>
                                <w:t>1</w:t>
                              </w:r>
                            </w:fldSimple>
                            <w:r>
                              <w:t xml:space="preserve">: </w:t>
                            </w:r>
                            <w:r w:rsidRPr="00D15FF7">
                              <w:t>Design sketch of the Deenbandhu model 2000</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9D24D" id="_x0000_t202" coordsize="21600,21600" o:spt="202" path="m,l,21600r21600,l21600,xe">
                <v:stroke joinstyle="miter"/>
                <v:path gradientshapeok="t" o:connecttype="rect"/>
              </v:shapetype>
              <v:shape id="Textfeld 9" o:spid="_x0000_s1026" type="#_x0000_t202" style="position:absolute;margin-left:0;margin-top:261.5pt;width:517.2pt;height:1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" stroked="f">
                <v:path arrowok="t"/>
                <v:textbox inset="0,0,0,0">
                  <w:txbxContent>
                    <w:p w14:paraId="7306FC13" w14:textId="77777777" w:rsidR="00B81D0C" w:rsidRPr="00DB6277" w:rsidRDefault="00B81D0C" w:rsidP="007F2B0E">
                      <w:pPr>
                        <w:pStyle w:val="Beschriftung"/>
                        <w:spacing w:before="0" w:after="0"/>
                        <w:rPr>
                          <w:noProof/>
                        </w:rPr>
                      </w:pPr>
                      <w:r>
                        <w:t xml:space="preserve">Figure </w:t>
                      </w:r>
                      <w:r w:rsidR="007247F9">
                        <w:fldChar w:fldCharType="begin"/>
                      </w:r>
                      <w:r w:rsidR="007247F9">
                        <w:instrText xml:space="preserve"> SEQ Figure \* ARABIC </w:instrText>
                      </w:r>
                      <w:r w:rsidR="007247F9">
                        <w:fldChar w:fldCharType="separate"/>
                      </w:r>
                      <w:r>
                        <w:rPr>
                          <w:noProof/>
                        </w:rPr>
                        <w:t>1</w:t>
                      </w:r>
                      <w:r w:rsidR="007247F9">
                        <w:rPr>
                          <w:noProof/>
                        </w:rPr>
                        <w:fldChar w:fldCharType="end"/>
                      </w:r>
                      <w:r>
                        <w:t xml:space="preserve">: </w:t>
                      </w:r>
                      <w:r w:rsidRPr="00D15FF7">
                        <w:t>Design sketch of the Deenbandhu model 2000</w:t>
                      </w:r>
                      <w:r>
                        <w:t>.</w:t>
                      </w:r>
                    </w:p>
                  </w:txbxContent>
                </v:textbox>
                <w10:wrap type="tight" anchorx="margin"/>
              </v:shape>
            </w:pict>
          </mc:Fallback>
        </mc:AlternateContent>
      </w:r>
    </w:p>
    <w:p w14:paraId="2D608EAA" w14:textId="77777777" w:rsidR="007F2B0E" w:rsidRDefault="007F2B0E" w:rsidP="007F2B0E">
      <w:pPr>
        <w:spacing w:before="240"/>
        <w:rPr>
          <w:rFonts w:cs="Arial"/>
        </w:rPr>
      </w:pPr>
    </w:p>
    <w:p w14:paraId="3EAAD285" w14:textId="65CD0374" w:rsidR="007F2B0E" w:rsidRPr="007F2B0E" w:rsidRDefault="007F2B0E" w:rsidP="007F2B0E">
      <w:pPr>
        <w:spacing w:before="240"/>
        <w:rPr>
          <w:rFonts w:cs="Arial"/>
        </w:rPr>
      </w:pPr>
      <w:r w:rsidRPr="007F2B0E">
        <w:rPr>
          <w:rFonts w:cs="Arial"/>
        </w:rPr>
        <w:t xml:space="preserve">Pipes are connecting the biogas units with biogas burners for cooking inside the user’s house. Except for the gas burner, all building material for the biogas digester (bricks, </w:t>
      </w:r>
      <w:r w:rsidR="0015085A">
        <w:rPr>
          <w:rFonts w:cs="Arial"/>
        </w:rPr>
        <w:lastRenderedPageBreak/>
        <w:t>c</w:t>
      </w:r>
      <w:r w:rsidRPr="007F2B0E">
        <w:rPr>
          <w:rFonts w:cs="Arial"/>
        </w:rPr>
        <w:t>ement and sand) are sourced locally. The main components of the Deenbandhu 2000 Biogas model</w:t>
      </w:r>
      <w:r w:rsidRPr="007F2B0E">
        <w:rPr>
          <w:rFonts w:cs="Arial"/>
          <w:vertAlign w:val="superscript"/>
        </w:rPr>
        <w:footnoteReference w:id="2"/>
      </w:r>
      <w:r w:rsidRPr="007F2B0E">
        <w:rPr>
          <w:rFonts w:cs="Arial"/>
        </w:rPr>
        <w:t xml:space="preserve"> are:</w:t>
      </w:r>
    </w:p>
    <w:p w14:paraId="3A5B1DC5" w14:textId="77777777" w:rsidR="007F2B0E" w:rsidRPr="007F2B0E" w:rsidRDefault="007F2B0E" w:rsidP="007F2B0E">
      <w:pPr>
        <w:autoSpaceDE w:val="0"/>
        <w:autoSpaceDN w:val="0"/>
        <w:adjustRightInd w:val="0"/>
        <w:rPr>
          <w:rFonts w:eastAsia="MS Mincho" w:cs="Arial"/>
          <w:b/>
          <w:bCs/>
          <w:i/>
          <w:iCs/>
          <w:color w:val="000000"/>
        </w:rPr>
      </w:pPr>
    </w:p>
    <w:p w14:paraId="5491E628" w14:textId="77777777" w:rsidR="007F2B0E" w:rsidRPr="007F2B0E" w:rsidRDefault="007F2B0E" w:rsidP="007F2B0E">
      <w:pPr>
        <w:autoSpaceDE w:val="0"/>
        <w:autoSpaceDN w:val="0"/>
        <w:adjustRightInd w:val="0"/>
        <w:rPr>
          <w:rFonts w:eastAsia="MS Mincho" w:cs="Arial"/>
          <w:color w:val="000000"/>
        </w:rPr>
      </w:pPr>
      <w:r w:rsidRPr="007F2B0E">
        <w:rPr>
          <w:rFonts w:eastAsia="MS Mincho" w:cs="Arial"/>
          <w:b/>
          <w:bCs/>
          <w:i/>
          <w:iCs/>
          <w:color w:val="000000"/>
        </w:rPr>
        <w:t xml:space="preserve">Foundation: </w:t>
      </w:r>
      <w:r w:rsidRPr="007F2B0E">
        <w:rPr>
          <w:rFonts w:eastAsia="MS Mincho" w:cs="Arial"/>
          <w:color w:val="000000"/>
        </w:rPr>
        <w:t xml:space="preserve">The foundation of the plant is bowl shaped with a collar around the circumference. The construction of the digester dome is done on this collar. </w:t>
      </w:r>
    </w:p>
    <w:p w14:paraId="7C377354" w14:textId="77777777" w:rsidR="007F2B0E" w:rsidRPr="007F2B0E" w:rsidRDefault="007F2B0E" w:rsidP="007F2B0E">
      <w:pPr>
        <w:rPr>
          <w:rFonts w:eastAsia="MS Mincho" w:cs="Arial"/>
          <w:b/>
          <w:bCs/>
          <w:i/>
          <w:iCs/>
          <w:color w:val="000000"/>
        </w:rPr>
      </w:pPr>
    </w:p>
    <w:p w14:paraId="765065CF" w14:textId="77777777" w:rsidR="007F2B0E" w:rsidRPr="007F2B0E" w:rsidRDefault="007F2B0E" w:rsidP="007F2B0E">
      <w:pPr>
        <w:rPr>
          <w:rFonts w:eastAsia="MS Mincho" w:cs="Arial"/>
          <w:color w:val="000000"/>
        </w:rPr>
      </w:pPr>
      <w:r w:rsidRPr="007F2B0E">
        <w:rPr>
          <w:rFonts w:eastAsia="MS Mincho" w:cs="Arial"/>
          <w:b/>
          <w:bCs/>
          <w:i/>
          <w:iCs/>
          <w:color w:val="000000"/>
        </w:rPr>
        <w:t xml:space="preserve">Dome: </w:t>
      </w:r>
      <w:r w:rsidRPr="007F2B0E">
        <w:rPr>
          <w:rFonts w:eastAsia="MS Mincho" w:cs="Arial"/>
          <w:color w:val="000000"/>
        </w:rPr>
        <w:t xml:space="preserve">The dome of the digester is divided in two parts, digester and gas storage. </w:t>
      </w:r>
    </w:p>
    <w:p w14:paraId="055E9FA1" w14:textId="77777777" w:rsidR="007F2B0E" w:rsidRPr="007F2B0E" w:rsidRDefault="007F2B0E" w:rsidP="007F2B0E">
      <w:pPr>
        <w:autoSpaceDE w:val="0"/>
        <w:autoSpaceDN w:val="0"/>
        <w:adjustRightInd w:val="0"/>
        <w:rPr>
          <w:rFonts w:eastAsia="MS Mincho" w:cs="Arial"/>
          <w:color w:val="000000"/>
        </w:rPr>
      </w:pPr>
    </w:p>
    <w:p w14:paraId="1A1E867C" w14:textId="77777777" w:rsidR="007F2B0E" w:rsidRPr="007F2B0E" w:rsidRDefault="007F2B0E" w:rsidP="007F2B0E">
      <w:pPr>
        <w:autoSpaceDE w:val="0"/>
        <w:autoSpaceDN w:val="0"/>
        <w:adjustRightInd w:val="0"/>
        <w:rPr>
          <w:rFonts w:eastAsia="MS Mincho" w:cs="Arial"/>
          <w:color w:val="000000"/>
        </w:rPr>
      </w:pPr>
      <w:r w:rsidRPr="007F2B0E">
        <w:rPr>
          <w:rFonts w:eastAsia="MS Mincho" w:cs="Arial"/>
          <w:b/>
          <w:bCs/>
          <w:i/>
          <w:iCs/>
          <w:color w:val="000000"/>
        </w:rPr>
        <w:t>Digester:</w:t>
      </w:r>
      <w:r w:rsidRPr="007F2B0E">
        <w:rPr>
          <w:rFonts w:eastAsia="MS Mincho" w:cs="Arial"/>
          <w:color w:val="000000"/>
        </w:rPr>
        <w:t xml:space="preserve"> The bottom part is called digester. The mixture of dung and water decomposes in this part and produces gas due to bacterial activity. </w:t>
      </w:r>
    </w:p>
    <w:p w14:paraId="2019EFDB" w14:textId="77777777" w:rsidR="007F2B0E" w:rsidRPr="007F2B0E" w:rsidRDefault="007F2B0E" w:rsidP="007F2B0E">
      <w:pPr>
        <w:autoSpaceDE w:val="0"/>
        <w:autoSpaceDN w:val="0"/>
        <w:adjustRightInd w:val="0"/>
        <w:rPr>
          <w:rFonts w:eastAsia="MS Mincho" w:cs="Arial"/>
          <w:color w:val="000000"/>
        </w:rPr>
      </w:pPr>
    </w:p>
    <w:p w14:paraId="1E136FDD" w14:textId="77777777" w:rsidR="007F2B0E" w:rsidRPr="007F2B0E" w:rsidRDefault="007F2B0E" w:rsidP="007F2B0E">
      <w:pPr>
        <w:autoSpaceDE w:val="0"/>
        <w:autoSpaceDN w:val="0"/>
        <w:adjustRightInd w:val="0"/>
        <w:rPr>
          <w:rFonts w:eastAsia="MS Mincho" w:cs="Arial"/>
          <w:color w:val="000000"/>
        </w:rPr>
      </w:pPr>
      <w:r w:rsidRPr="007F2B0E">
        <w:rPr>
          <w:rFonts w:eastAsia="MS Mincho" w:cs="Arial"/>
          <w:b/>
          <w:color w:val="000000"/>
        </w:rPr>
        <w:t>Gas storage:</w:t>
      </w:r>
      <w:r w:rsidRPr="007F2B0E">
        <w:rPr>
          <w:rFonts w:eastAsia="MS Mincho" w:cs="Arial"/>
          <w:color w:val="000000"/>
        </w:rPr>
        <w:t xml:space="preserve"> The upper part of the digester dome is called gas storage. The gas produced by the bacterial activity is stored in this place. </w:t>
      </w:r>
    </w:p>
    <w:p w14:paraId="6AB739D0" w14:textId="77777777" w:rsidR="007F2B0E" w:rsidRPr="007F2B0E" w:rsidRDefault="007F2B0E" w:rsidP="007F2B0E">
      <w:pPr>
        <w:autoSpaceDE w:val="0"/>
        <w:autoSpaceDN w:val="0"/>
        <w:adjustRightInd w:val="0"/>
        <w:rPr>
          <w:rFonts w:eastAsia="MS Mincho" w:cs="Arial"/>
          <w:b/>
          <w:bCs/>
          <w:i/>
          <w:iCs/>
          <w:color w:val="000000"/>
        </w:rPr>
      </w:pPr>
    </w:p>
    <w:p w14:paraId="1231DA2D" w14:textId="77777777" w:rsidR="007F2B0E" w:rsidRPr="007F2B0E" w:rsidRDefault="007F2B0E" w:rsidP="007F2B0E">
      <w:pPr>
        <w:autoSpaceDE w:val="0"/>
        <w:autoSpaceDN w:val="0"/>
        <w:adjustRightInd w:val="0"/>
        <w:rPr>
          <w:rFonts w:eastAsia="MS Mincho" w:cs="Arial"/>
          <w:color w:val="000000"/>
        </w:rPr>
      </w:pPr>
      <w:r w:rsidRPr="007F2B0E">
        <w:rPr>
          <w:rFonts w:eastAsia="MS Mincho" w:cs="Arial"/>
          <w:b/>
          <w:bCs/>
          <w:i/>
          <w:iCs/>
          <w:color w:val="000000"/>
        </w:rPr>
        <w:t xml:space="preserve">Gas outlet pipe: </w:t>
      </w:r>
      <w:r w:rsidRPr="007F2B0E">
        <w:rPr>
          <w:rFonts w:eastAsia="MS Mincho" w:cs="Arial"/>
          <w:color w:val="000000"/>
        </w:rPr>
        <w:t>A nipple is fitted on the top of the dome, which is connected to a pipe. The gas reaches the kitchen through this pipe. The recovered gas is combusted and used on a biogas burner for cooking in the household.</w:t>
      </w:r>
    </w:p>
    <w:p w14:paraId="1D8B9C42" w14:textId="77777777" w:rsidR="007F2B0E" w:rsidRPr="007F2B0E" w:rsidRDefault="007F2B0E" w:rsidP="007F2B0E">
      <w:pPr>
        <w:autoSpaceDE w:val="0"/>
        <w:autoSpaceDN w:val="0"/>
        <w:adjustRightInd w:val="0"/>
        <w:rPr>
          <w:rFonts w:eastAsia="MS Mincho" w:cs="Arial"/>
          <w:b/>
          <w:bCs/>
          <w:i/>
          <w:iCs/>
          <w:color w:val="000000"/>
        </w:rPr>
      </w:pPr>
    </w:p>
    <w:p w14:paraId="0FF65464" w14:textId="77777777" w:rsidR="007F2B0E" w:rsidRPr="007F2B0E" w:rsidRDefault="007F2B0E" w:rsidP="007F2B0E">
      <w:pPr>
        <w:autoSpaceDE w:val="0"/>
        <w:autoSpaceDN w:val="0"/>
        <w:adjustRightInd w:val="0"/>
        <w:rPr>
          <w:rFonts w:eastAsia="MS Mincho" w:cs="Arial"/>
          <w:color w:val="000000"/>
        </w:rPr>
      </w:pPr>
      <w:r w:rsidRPr="007F2B0E">
        <w:rPr>
          <w:rFonts w:eastAsia="MS Mincho" w:cs="Arial"/>
          <w:b/>
          <w:bCs/>
          <w:i/>
          <w:iCs/>
          <w:color w:val="000000"/>
        </w:rPr>
        <w:t xml:space="preserve">Inlet: </w:t>
      </w:r>
    </w:p>
    <w:p w14:paraId="78102D95" w14:textId="77777777" w:rsidR="007F2B0E" w:rsidRPr="007F2B0E" w:rsidRDefault="007F2B0E" w:rsidP="007F2B0E">
      <w:pPr>
        <w:autoSpaceDE w:val="0"/>
        <w:autoSpaceDN w:val="0"/>
        <w:adjustRightInd w:val="0"/>
        <w:rPr>
          <w:rFonts w:eastAsia="MS Mincho" w:cs="Arial"/>
          <w:color w:val="000000"/>
        </w:rPr>
      </w:pPr>
      <w:r w:rsidRPr="007F2B0E">
        <w:rPr>
          <w:rFonts w:eastAsia="MS Mincho" w:cs="Arial"/>
          <w:color w:val="000000"/>
        </w:rPr>
        <w:t xml:space="preserve">The pipe through which fresh dung and water enters the plant is called Inlet pipe. This pipe is connected to a small tank for mixing dung and water. </w:t>
      </w:r>
    </w:p>
    <w:p w14:paraId="1FB1A23E" w14:textId="77777777" w:rsidR="007F2B0E" w:rsidRPr="007F2B0E" w:rsidRDefault="007F2B0E" w:rsidP="007F2B0E">
      <w:pPr>
        <w:autoSpaceDE w:val="0"/>
        <w:autoSpaceDN w:val="0"/>
        <w:adjustRightInd w:val="0"/>
        <w:rPr>
          <w:rFonts w:eastAsia="MS Mincho" w:cs="Arial"/>
          <w:b/>
          <w:bCs/>
          <w:i/>
          <w:iCs/>
          <w:color w:val="000000"/>
        </w:rPr>
      </w:pPr>
    </w:p>
    <w:p w14:paraId="7CA9FAC3" w14:textId="77777777" w:rsidR="007F2B0E" w:rsidRPr="007F2B0E" w:rsidRDefault="007F2B0E" w:rsidP="007F2B0E">
      <w:pPr>
        <w:autoSpaceDE w:val="0"/>
        <w:autoSpaceDN w:val="0"/>
        <w:adjustRightInd w:val="0"/>
        <w:rPr>
          <w:rFonts w:eastAsia="MS Mincho" w:cs="Arial"/>
          <w:color w:val="000000"/>
        </w:rPr>
      </w:pPr>
      <w:r w:rsidRPr="007F2B0E">
        <w:rPr>
          <w:rFonts w:eastAsia="MS Mincho" w:cs="Arial"/>
          <w:b/>
          <w:bCs/>
          <w:i/>
          <w:iCs/>
          <w:color w:val="000000"/>
        </w:rPr>
        <w:t xml:space="preserve">Outlet: </w:t>
      </w:r>
    </w:p>
    <w:p w14:paraId="1E5D8882" w14:textId="6B1F8072" w:rsidR="007F2B0E" w:rsidRDefault="007F2B0E" w:rsidP="007F2B0E">
      <w:pPr>
        <w:autoSpaceDE w:val="0"/>
        <w:autoSpaceDN w:val="0"/>
        <w:adjustRightInd w:val="0"/>
        <w:rPr>
          <w:rFonts w:cs="Arial"/>
        </w:rPr>
      </w:pPr>
      <w:r w:rsidRPr="007F2B0E">
        <w:rPr>
          <w:rFonts w:cs="Arial"/>
        </w:rPr>
        <w:t xml:space="preserve">The portion of the plant where the slurry accumulates after coming out of the digester is called outlet tank. It is in two parts. The first bottom part is small and rectangular, which is connected to the dome opening, while the other part of outlet tank is dome shaped. A small slurry discharge </w:t>
      </w:r>
      <w:r w:rsidR="000E111A">
        <w:rPr>
          <w:rFonts w:cs="Arial"/>
        </w:rPr>
        <w:t>w</w:t>
      </w:r>
      <w:r w:rsidRPr="007F2B0E">
        <w:rPr>
          <w:rFonts w:cs="Arial"/>
        </w:rPr>
        <w:t>hole is provided in the outlet tank.</w:t>
      </w:r>
    </w:p>
    <w:tbl>
      <w:tblPr>
        <w:tblStyle w:val="GSBoldTable"/>
        <w:tblpPr w:leftFromText="141" w:rightFromText="141" w:vertAnchor="text" w:horzAnchor="margin" w:tblpY="129"/>
        <w:tblW w:w="0" w:type="auto"/>
        <w:tblLook w:val="04A0" w:firstRow="1" w:lastRow="0" w:firstColumn="1" w:lastColumn="0" w:noHBand="0" w:noVBand="1"/>
      </w:tblPr>
      <w:tblGrid>
        <w:gridCol w:w="1886"/>
        <w:gridCol w:w="1887"/>
        <w:gridCol w:w="1887"/>
        <w:gridCol w:w="1887"/>
        <w:gridCol w:w="1887"/>
      </w:tblGrid>
      <w:tr w:rsidR="007F2B0E" w:rsidRPr="007F2B0E" w14:paraId="7F2F5370" w14:textId="77777777" w:rsidTr="009B2831">
        <w:trPr>
          <w:cnfStyle w:val="100000000000" w:firstRow="1" w:lastRow="0" w:firstColumn="0" w:lastColumn="0" w:oddVBand="0" w:evenVBand="0" w:oddHBand="0" w:evenHBand="0" w:firstRowFirstColumn="0" w:firstRowLastColumn="0" w:lastRowFirstColumn="0" w:lastRowLastColumn="0"/>
          <w:trHeight w:val="775"/>
        </w:trPr>
        <w:tc>
          <w:tcPr>
            <w:tcW w:w="1886" w:type="dxa"/>
          </w:tcPr>
          <w:p w14:paraId="5083FB9D" w14:textId="77777777" w:rsidR="007F2B0E" w:rsidRPr="00D265E2" w:rsidRDefault="007F2B0E" w:rsidP="007F2B0E">
            <w:pPr>
              <w:autoSpaceDE w:val="0"/>
              <w:autoSpaceDN w:val="0"/>
              <w:adjustRightInd w:val="0"/>
              <w:jc w:val="center"/>
              <w:rPr>
                <w:rFonts w:cs="Arial"/>
                <w:b/>
                <w:color w:val="FFFFFF" w:themeColor="background1"/>
              </w:rPr>
            </w:pPr>
            <w:r w:rsidRPr="00D265E2">
              <w:rPr>
                <w:rFonts w:cs="Arial"/>
                <w:b/>
                <w:color w:val="FFFFFF" w:themeColor="background1"/>
              </w:rPr>
              <w:lastRenderedPageBreak/>
              <w:t>Plant size (Gas storage)</w:t>
            </w:r>
          </w:p>
        </w:tc>
        <w:tc>
          <w:tcPr>
            <w:tcW w:w="1887" w:type="dxa"/>
          </w:tcPr>
          <w:p w14:paraId="7258A154" w14:textId="77777777" w:rsidR="007F2B0E" w:rsidRPr="00D265E2" w:rsidRDefault="007F2B0E" w:rsidP="007F2B0E">
            <w:pPr>
              <w:autoSpaceDE w:val="0"/>
              <w:autoSpaceDN w:val="0"/>
              <w:adjustRightInd w:val="0"/>
              <w:jc w:val="center"/>
              <w:rPr>
                <w:rFonts w:cs="Arial"/>
                <w:b/>
                <w:color w:val="FFFFFF" w:themeColor="background1"/>
              </w:rPr>
            </w:pPr>
            <w:r w:rsidRPr="00D265E2">
              <w:rPr>
                <w:rFonts w:cs="Arial"/>
                <w:b/>
                <w:color w:val="FFFFFF" w:themeColor="background1"/>
              </w:rPr>
              <w:t>Dung to be fed into the digester (kg)</w:t>
            </w:r>
          </w:p>
        </w:tc>
        <w:tc>
          <w:tcPr>
            <w:tcW w:w="1887" w:type="dxa"/>
          </w:tcPr>
          <w:p w14:paraId="4D3217EA" w14:textId="77777777" w:rsidR="007F2B0E" w:rsidRPr="00D265E2" w:rsidRDefault="007F2B0E" w:rsidP="007F2B0E">
            <w:pPr>
              <w:autoSpaceDE w:val="0"/>
              <w:autoSpaceDN w:val="0"/>
              <w:adjustRightInd w:val="0"/>
              <w:jc w:val="center"/>
              <w:rPr>
                <w:rFonts w:cs="Arial"/>
                <w:b/>
                <w:color w:val="FFFFFF" w:themeColor="background1"/>
              </w:rPr>
            </w:pPr>
            <w:r w:rsidRPr="00D265E2">
              <w:rPr>
                <w:rFonts w:cs="Arial"/>
                <w:b/>
                <w:color w:val="FFFFFF" w:themeColor="background1"/>
              </w:rPr>
              <w:t>Water to be fed into the digester (liter)</w:t>
            </w:r>
          </w:p>
        </w:tc>
        <w:tc>
          <w:tcPr>
            <w:tcW w:w="1887" w:type="dxa"/>
          </w:tcPr>
          <w:p w14:paraId="15CC445A" w14:textId="77777777" w:rsidR="007F2B0E" w:rsidRPr="00D265E2" w:rsidRDefault="007F2B0E" w:rsidP="007F2B0E">
            <w:pPr>
              <w:autoSpaceDE w:val="0"/>
              <w:autoSpaceDN w:val="0"/>
              <w:adjustRightInd w:val="0"/>
              <w:jc w:val="center"/>
              <w:rPr>
                <w:rFonts w:cs="Arial"/>
                <w:b/>
                <w:color w:val="FFFFFF" w:themeColor="background1"/>
              </w:rPr>
            </w:pPr>
            <w:r w:rsidRPr="00D265E2">
              <w:rPr>
                <w:rFonts w:cs="Arial"/>
                <w:b/>
                <w:color w:val="FFFFFF" w:themeColor="background1"/>
              </w:rPr>
              <w:t>Number of cows per household</w:t>
            </w:r>
          </w:p>
        </w:tc>
        <w:tc>
          <w:tcPr>
            <w:tcW w:w="1887" w:type="dxa"/>
          </w:tcPr>
          <w:p w14:paraId="5866EA17" w14:textId="77777777" w:rsidR="007F2B0E" w:rsidRPr="00D265E2" w:rsidRDefault="007F2B0E" w:rsidP="007F2B0E">
            <w:pPr>
              <w:autoSpaceDE w:val="0"/>
              <w:autoSpaceDN w:val="0"/>
              <w:adjustRightInd w:val="0"/>
              <w:jc w:val="center"/>
              <w:rPr>
                <w:rFonts w:cs="Arial"/>
                <w:b/>
                <w:color w:val="FFFFFF" w:themeColor="background1"/>
              </w:rPr>
            </w:pPr>
            <w:r w:rsidRPr="00D265E2">
              <w:rPr>
                <w:rFonts w:cs="Arial"/>
                <w:b/>
                <w:color w:val="FFFFFF" w:themeColor="background1"/>
              </w:rPr>
              <w:t>Number of eaters per household</w:t>
            </w:r>
          </w:p>
        </w:tc>
      </w:tr>
      <w:tr w:rsidR="007F2B0E" w:rsidRPr="007F2B0E" w14:paraId="26A3B5D0" w14:textId="77777777" w:rsidTr="009B2831">
        <w:trPr>
          <w:trHeight w:val="263"/>
        </w:trPr>
        <w:tc>
          <w:tcPr>
            <w:tcW w:w="1886" w:type="dxa"/>
          </w:tcPr>
          <w:p w14:paraId="55A0DCC8" w14:textId="77777777" w:rsidR="007F2B0E" w:rsidRPr="007F2B0E" w:rsidRDefault="007F2B0E" w:rsidP="007F2B0E">
            <w:pPr>
              <w:autoSpaceDE w:val="0"/>
              <w:autoSpaceDN w:val="0"/>
              <w:adjustRightInd w:val="0"/>
              <w:jc w:val="center"/>
              <w:rPr>
                <w:rFonts w:cs="Arial"/>
              </w:rPr>
            </w:pPr>
            <w:r w:rsidRPr="007F2B0E">
              <w:rPr>
                <w:rFonts w:cs="Arial"/>
              </w:rPr>
              <w:t>2 m</w:t>
            </w:r>
            <w:r w:rsidRPr="007F2B0E">
              <w:rPr>
                <w:rFonts w:cs="Arial"/>
                <w:vertAlign w:val="superscript"/>
              </w:rPr>
              <w:t>3</w:t>
            </w:r>
          </w:p>
        </w:tc>
        <w:tc>
          <w:tcPr>
            <w:tcW w:w="1887" w:type="dxa"/>
          </w:tcPr>
          <w:p w14:paraId="1742D07B" w14:textId="77777777" w:rsidR="007F2B0E" w:rsidRPr="007F2B0E" w:rsidRDefault="007F2B0E" w:rsidP="007F2B0E">
            <w:pPr>
              <w:autoSpaceDE w:val="0"/>
              <w:autoSpaceDN w:val="0"/>
              <w:adjustRightInd w:val="0"/>
              <w:jc w:val="center"/>
              <w:rPr>
                <w:rFonts w:cs="Arial"/>
              </w:rPr>
            </w:pPr>
            <w:r w:rsidRPr="007F2B0E">
              <w:rPr>
                <w:rFonts w:cs="Arial"/>
              </w:rPr>
              <w:t>50</w:t>
            </w:r>
          </w:p>
        </w:tc>
        <w:tc>
          <w:tcPr>
            <w:tcW w:w="1887" w:type="dxa"/>
          </w:tcPr>
          <w:p w14:paraId="7944C0C4" w14:textId="77777777" w:rsidR="007F2B0E" w:rsidRPr="007F2B0E" w:rsidRDefault="007F2B0E" w:rsidP="007F2B0E">
            <w:pPr>
              <w:autoSpaceDE w:val="0"/>
              <w:autoSpaceDN w:val="0"/>
              <w:adjustRightInd w:val="0"/>
              <w:jc w:val="center"/>
              <w:rPr>
                <w:rFonts w:cs="Arial"/>
              </w:rPr>
            </w:pPr>
            <w:r w:rsidRPr="007F2B0E">
              <w:rPr>
                <w:rFonts w:cs="Arial"/>
              </w:rPr>
              <w:t>50</w:t>
            </w:r>
          </w:p>
        </w:tc>
        <w:tc>
          <w:tcPr>
            <w:tcW w:w="1887" w:type="dxa"/>
          </w:tcPr>
          <w:p w14:paraId="5DA42759" w14:textId="77777777" w:rsidR="007F2B0E" w:rsidRPr="007F2B0E" w:rsidRDefault="007F2B0E" w:rsidP="007F2B0E">
            <w:pPr>
              <w:autoSpaceDE w:val="0"/>
              <w:autoSpaceDN w:val="0"/>
              <w:adjustRightInd w:val="0"/>
              <w:jc w:val="center"/>
              <w:rPr>
                <w:rFonts w:cs="Arial"/>
              </w:rPr>
            </w:pPr>
            <w:r w:rsidRPr="007F2B0E">
              <w:rPr>
                <w:rFonts w:cs="Arial"/>
              </w:rPr>
              <w:t>Min. 2</w:t>
            </w:r>
          </w:p>
        </w:tc>
        <w:tc>
          <w:tcPr>
            <w:tcW w:w="1887" w:type="dxa"/>
          </w:tcPr>
          <w:p w14:paraId="7D865CD1" w14:textId="77777777" w:rsidR="007F2B0E" w:rsidRPr="007F2B0E" w:rsidRDefault="007F2B0E" w:rsidP="007F2B0E">
            <w:pPr>
              <w:autoSpaceDE w:val="0"/>
              <w:autoSpaceDN w:val="0"/>
              <w:adjustRightInd w:val="0"/>
              <w:jc w:val="center"/>
              <w:rPr>
                <w:rFonts w:cs="Arial"/>
              </w:rPr>
            </w:pPr>
            <w:r w:rsidRPr="007F2B0E">
              <w:rPr>
                <w:rFonts w:cs="Arial"/>
              </w:rPr>
              <w:t>5-8</w:t>
            </w:r>
          </w:p>
        </w:tc>
      </w:tr>
      <w:tr w:rsidR="007F2B0E" w:rsidRPr="007F2B0E" w14:paraId="3809B8BB" w14:textId="77777777" w:rsidTr="009B2831">
        <w:trPr>
          <w:trHeight w:val="263"/>
        </w:trPr>
        <w:tc>
          <w:tcPr>
            <w:tcW w:w="1886" w:type="dxa"/>
          </w:tcPr>
          <w:p w14:paraId="7182B803" w14:textId="77777777" w:rsidR="007F2B0E" w:rsidRPr="007F2B0E" w:rsidRDefault="007F2B0E" w:rsidP="007F2B0E">
            <w:pPr>
              <w:autoSpaceDE w:val="0"/>
              <w:autoSpaceDN w:val="0"/>
              <w:adjustRightInd w:val="0"/>
              <w:jc w:val="center"/>
              <w:rPr>
                <w:rFonts w:cs="Arial"/>
              </w:rPr>
            </w:pPr>
            <w:r w:rsidRPr="007F2B0E">
              <w:rPr>
                <w:rFonts w:cs="Arial"/>
              </w:rPr>
              <w:t>3 m</w:t>
            </w:r>
            <w:r w:rsidRPr="007F2B0E">
              <w:rPr>
                <w:rFonts w:cs="Arial"/>
                <w:vertAlign w:val="superscript"/>
              </w:rPr>
              <w:t>3</w:t>
            </w:r>
          </w:p>
        </w:tc>
        <w:tc>
          <w:tcPr>
            <w:tcW w:w="1887" w:type="dxa"/>
          </w:tcPr>
          <w:p w14:paraId="3EDA47EC" w14:textId="77777777" w:rsidR="007F2B0E" w:rsidRPr="007F2B0E" w:rsidRDefault="007F2B0E" w:rsidP="007F2B0E">
            <w:pPr>
              <w:autoSpaceDE w:val="0"/>
              <w:autoSpaceDN w:val="0"/>
              <w:adjustRightInd w:val="0"/>
              <w:jc w:val="center"/>
              <w:rPr>
                <w:rFonts w:cs="Arial"/>
              </w:rPr>
            </w:pPr>
            <w:r w:rsidRPr="007F2B0E">
              <w:rPr>
                <w:rFonts w:cs="Arial"/>
              </w:rPr>
              <w:t>75</w:t>
            </w:r>
          </w:p>
        </w:tc>
        <w:tc>
          <w:tcPr>
            <w:tcW w:w="1887" w:type="dxa"/>
          </w:tcPr>
          <w:p w14:paraId="5705F3E3" w14:textId="77777777" w:rsidR="007F2B0E" w:rsidRPr="007F2B0E" w:rsidRDefault="007F2B0E" w:rsidP="007F2B0E">
            <w:pPr>
              <w:autoSpaceDE w:val="0"/>
              <w:autoSpaceDN w:val="0"/>
              <w:adjustRightInd w:val="0"/>
              <w:jc w:val="center"/>
              <w:rPr>
                <w:rFonts w:cs="Arial"/>
              </w:rPr>
            </w:pPr>
            <w:r w:rsidRPr="007F2B0E">
              <w:rPr>
                <w:rFonts w:cs="Arial"/>
              </w:rPr>
              <w:t>75</w:t>
            </w:r>
          </w:p>
        </w:tc>
        <w:tc>
          <w:tcPr>
            <w:tcW w:w="1887" w:type="dxa"/>
          </w:tcPr>
          <w:p w14:paraId="1A6A2C6D" w14:textId="77777777" w:rsidR="007F2B0E" w:rsidRPr="007F2B0E" w:rsidRDefault="007F2B0E" w:rsidP="007F2B0E">
            <w:pPr>
              <w:autoSpaceDE w:val="0"/>
              <w:autoSpaceDN w:val="0"/>
              <w:adjustRightInd w:val="0"/>
              <w:jc w:val="center"/>
              <w:rPr>
                <w:rFonts w:cs="Arial"/>
              </w:rPr>
            </w:pPr>
            <w:r w:rsidRPr="007F2B0E">
              <w:rPr>
                <w:rFonts w:cs="Arial"/>
              </w:rPr>
              <w:t>Min. 3</w:t>
            </w:r>
          </w:p>
        </w:tc>
        <w:tc>
          <w:tcPr>
            <w:tcW w:w="1887" w:type="dxa"/>
          </w:tcPr>
          <w:p w14:paraId="763706B8" w14:textId="77777777" w:rsidR="007F2B0E" w:rsidRPr="007F2B0E" w:rsidRDefault="007F2B0E" w:rsidP="007F2B0E">
            <w:pPr>
              <w:autoSpaceDE w:val="0"/>
              <w:autoSpaceDN w:val="0"/>
              <w:adjustRightInd w:val="0"/>
              <w:jc w:val="center"/>
              <w:rPr>
                <w:rFonts w:cs="Arial"/>
              </w:rPr>
            </w:pPr>
            <w:r w:rsidRPr="007F2B0E">
              <w:rPr>
                <w:rFonts w:cs="Arial"/>
              </w:rPr>
              <w:t>9-15</w:t>
            </w:r>
          </w:p>
        </w:tc>
      </w:tr>
    </w:tbl>
    <w:p w14:paraId="6800A962" w14:textId="77777777" w:rsidR="007F2B0E" w:rsidRPr="007F2B0E" w:rsidRDefault="007F2B0E" w:rsidP="007F2B0E">
      <w:pPr>
        <w:autoSpaceDE w:val="0"/>
        <w:autoSpaceDN w:val="0"/>
        <w:adjustRightInd w:val="0"/>
      </w:pPr>
    </w:p>
    <w:p w14:paraId="7C6F116E" w14:textId="505F28A7" w:rsidR="007F2B0E" w:rsidRPr="00A274FD" w:rsidRDefault="007F2B0E" w:rsidP="00326F42">
      <w:pPr>
        <w:pStyle w:val="ListParagraph"/>
        <w:numPr>
          <w:ilvl w:val="0"/>
          <w:numId w:val="27"/>
        </w:numPr>
        <w:spacing w:after="0" w:line="240" w:lineRule="auto"/>
        <w:jc w:val="both"/>
        <w:rPr>
          <w:rFonts w:cs="Arial"/>
          <w:u w:val="single"/>
        </w:rPr>
      </w:pPr>
      <w:r w:rsidRPr="00A274FD">
        <w:rPr>
          <w:rFonts w:cs="Arial"/>
          <w:u w:val="single"/>
        </w:rPr>
        <w:t>Information on implementation status of the project activity during monitoring period</w:t>
      </w:r>
    </w:p>
    <w:p w14:paraId="4BFC9A54" w14:textId="77777777" w:rsidR="007F2B0E" w:rsidRPr="007F2B0E" w:rsidRDefault="007F2B0E" w:rsidP="007F2B0E">
      <w:pPr>
        <w:spacing w:after="0" w:line="240" w:lineRule="auto"/>
        <w:ind w:left="644"/>
        <w:jc w:val="both"/>
        <w:rPr>
          <w:rFonts w:cs="Arial"/>
          <w:u w:val="single"/>
        </w:rPr>
      </w:pPr>
    </w:p>
    <w:p w14:paraId="34B95B9D" w14:textId="696465CB" w:rsidR="007F2B0E" w:rsidRPr="007F2B0E" w:rsidRDefault="007F2B0E" w:rsidP="007F2B0E">
      <w:pPr>
        <w:spacing w:before="240"/>
        <w:rPr>
          <w:rFonts w:cs="Arial"/>
        </w:rPr>
      </w:pPr>
      <w:r w:rsidRPr="007F2B0E">
        <w:rPr>
          <w:rFonts w:cs="Arial"/>
        </w:rPr>
        <w:t>The first biogas unit in the project was commissioned on 09 October 2010. According to the sales records and the database of the project, a total of 79</w:t>
      </w:r>
      <w:r w:rsidR="0056643E">
        <w:rPr>
          <w:rFonts w:cs="Arial"/>
        </w:rPr>
        <w:t xml:space="preserve">6 </w:t>
      </w:r>
      <w:r w:rsidRPr="007F2B0E">
        <w:rPr>
          <w:rFonts w:cs="Arial"/>
        </w:rPr>
        <w:t xml:space="preserve">biogas units were constructed, commissioned and in operation at the end of the </w:t>
      </w:r>
      <w:r w:rsidR="00EE3462">
        <w:rPr>
          <w:rFonts w:cs="Arial"/>
        </w:rPr>
        <w:t>fourth</w:t>
      </w:r>
      <w:r w:rsidRPr="007F2B0E">
        <w:rPr>
          <w:rFonts w:cs="Arial"/>
        </w:rPr>
        <w:t xml:space="preserve"> monitoring period (30/12/2020) in the project area.</w:t>
      </w:r>
    </w:p>
    <w:p w14:paraId="45FC5A5F" w14:textId="77777777" w:rsidR="007F2B0E" w:rsidRPr="007F2B0E" w:rsidRDefault="007F2B0E" w:rsidP="007F2B0E">
      <w:pPr>
        <w:rPr>
          <w:rFonts w:cs="Arial"/>
        </w:rPr>
      </w:pPr>
    </w:p>
    <w:p w14:paraId="3A4DC642" w14:textId="0F62E0EC" w:rsidR="007F2B0E" w:rsidRDefault="007F2B0E" w:rsidP="007F2B0E">
      <w:pPr>
        <w:rPr>
          <w:rFonts w:cs="Arial"/>
        </w:rPr>
      </w:pPr>
      <w:r w:rsidRPr="007F2B0E">
        <w:rPr>
          <w:rFonts w:cs="Arial"/>
        </w:rPr>
        <w:t>The project is implemented in accordance with the provisions in the PDD. However, it needs to be underlined that the number of commissioned biogas units largely differs from the numbers stated in the PDD due to several reasons such as the relatively high costs for the biogas units. In order to maximize the construction and commissioning of new biogas units, project participants designed new finance mechanisms to support and accelerate the construction of new units.</w:t>
      </w:r>
    </w:p>
    <w:p w14:paraId="60FB4AB0" w14:textId="77777777" w:rsidR="0015085A" w:rsidRPr="007F2B0E" w:rsidRDefault="0015085A" w:rsidP="0015085A">
      <w:pPr>
        <w:rPr>
          <w:color w:val="323232" w:themeColor="text2"/>
        </w:rPr>
      </w:pPr>
      <w:r w:rsidRPr="007F2B0E">
        <w:rPr>
          <w:color w:val="323232" w:themeColor="text2"/>
        </w:rPr>
        <w:t xml:space="preserve">B.1.1 Forward Action Requests </w:t>
      </w:r>
    </w:p>
    <w:p w14:paraId="5F5B848A" w14:textId="7D683671" w:rsidR="0015085A" w:rsidRPr="007F2B0E" w:rsidRDefault="0015085A" w:rsidP="007F2B0E">
      <w:pPr>
        <w:rPr>
          <w:rFonts w:cs="Arial"/>
          <w:u w:val="single"/>
        </w:rPr>
      </w:pPr>
      <w:r>
        <w:rPr>
          <w:rFonts w:cs="Arial"/>
          <w:u w:val="single"/>
        </w:rPr>
        <w:t>N/A</w:t>
      </w:r>
    </w:p>
    <w:p w14:paraId="060A2864" w14:textId="57F90E70" w:rsidR="00816579" w:rsidRDefault="00465B23" w:rsidP="00465B23">
      <w:pPr>
        <w:pStyle w:val="Heading5"/>
      </w:pPr>
      <w:r>
        <w:t xml:space="preserve">B.2. </w:t>
      </w:r>
      <w:r w:rsidR="00816579" w:rsidRPr="00241108">
        <w:t>Post-</w:t>
      </w:r>
      <w:r w:rsidR="00816579">
        <w:t>Design Certification</w:t>
      </w:r>
      <w:r w:rsidR="00816579" w:rsidRPr="00241108">
        <w:t xml:space="preserve"> chang</w:t>
      </w:r>
      <w:bookmarkEnd w:id="10"/>
      <w:r w:rsidR="007F2B0E">
        <w:t>es</w:t>
      </w:r>
    </w:p>
    <w:p w14:paraId="4EBC45D1" w14:textId="240DA35A" w:rsidR="00816579" w:rsidRPr="003B1DEE" w:rsidRDefault="00816579" w:rsidP="00816579"/>
    <w:p w14:paraId="257394EE" w14:textId="77777777" w:rsidR="008B7334" w:rsidRPr="008B7334" w:rsidRDefault="008B7334" w:rsidP="008B7334">
      <w:pPr>
        <w:rPr>
          <w:i/>
          <w:color w:val="323232" w:themeColor="text2"/>
        </w:rPr>
      </w:pPr>
      <w:bookmarkStart w:id="11" w:name="_Ref418094308"/>
      <w:bookmarkStart w:id="12" w:name="_Toc40962741"/>
      <w:r w:rsidRPr="008B7334">
        <w:rPr>
          <w:i/>
          <w:color w:val="323232" w:themeColor="text2"/>
        </w:rPr>
        <w:t>B.2.1. Temporary deviations from the approved Monitoring &amp; Reporting Plan, methodology or standardized baseline</w:t>
      </w:r>
      <w:bookmarkEnd w:id="11"/>
      <w:bookmarkEnd w:id="12"/>
    </w:p>
    <w:p w14:paraId="5E252C80" w14:textId="77777777" w:rsidR="008B7334" w:rsidRPr="008B7334" w:rsidRDefault="008B7334" w:rsidP="008B7334"/>
    <w:p w14:paraId="532913A0" w14:textId="77777777" w:rsidR="008B7334" w:rsidRPr="008B7334" w:rsidRDefault="008B7334" w:rsidP="008B7334">
      <w:pPr>
        <w:rPr>
          <w:rFonts w:cs="Arial"/>
          <w:szCs w:val="22"/>
        </w:rPr>
      </w:pPr>
      <w:bookmarkStart w:id="13" w:name="_Ref418094311"/>
      <w:bookmarkStart w:id="14" w:name="_Toc40962742"/>
      <w:r w:rsidRPr="008B7334">
        <w:rPr>
          <w:rFonts w:cs="Arial"/>
          <w:szCs w:val="22"/>
        </w:rPr>
        <w:t>No temporary deviations from registered monitoring plan or applied methodology have occurred during this monitoring period.</w:t>
      </w:r>
    </w:p>
    <w:p w14:paraId="69E2B4E5" w14:textId="77777777" w:rsidR="008B7334" w:rsidRPr="008B7334" w:rsidRDefault="008B7334" w:rsidP="008B7334">
      <w:pPr>
        <w:rPr>
          <w:rFonts w:cs="Arial"/>
        </w:rPr>
      </w:pPr>
    </w:p>
    <w:p w14:paraId="394291E1" w14:textId="77777777" w:rsidR="008B7334" w:rsidRPr="008B7334" w:rsidRDefault="008B7334" w:rsidP="008B7334">
      <w:pPr>
        <w:rPr>
          <w:i/>
          <w:color w:val="323232" w:themeColor="text2"/>
        </w:rPr>
      </w:pPr>
      <w:r w:rsidRPr="008B7334">
        <w:rPr>
          <w:i/>
          <w:color w:val="323232" w:themeColor="text2"/>
        </w:rPr>
        <w:t>B.2.2. Corrections</w:t>
      </w:r>
      <w:bookmarkEnd w:id="13"/>
      <w:bookmarkEnd w:id="14"/>
    </w:p>
    <w:p w14:paraId="49E332AA" w14:textId="77777777" w:rsidR="008B7334" w:rsidRPr="008B7334" w:rsidRDefault="008B7334" w:rsidP="008B7334"/>
    <w:p w14:paraId="2C1B7A00" w14:textId="77777777" w:rsidR="008B7334" w:rsidRPr="008B7334" w:rsidRDefault="008B7334" w:rsidP="008B7334">
      <w:pPr>
        <w:rPr>
          <w:rFonts w:cs="Arial"/>
        </w:rPr>
      </w:pPr>
      <w:r w:rsidRPr="008B7334">
        <w:rPr>
          <w:rFonts w:cs="Arial"/>
          <w:szCs w:val="22"/>
        </w:rPr>
        <w:t>No corrections to project information or parameters fixed at validation have been submitted or approved during this monitoring period.</w:t>
      </w:r>
    </w:p>
    <w:p w14:paraId="35242E76" w14:textId="0848FC45" w:rsidR="008B7334" w:rsidRDefault="008B7334" w:rsidP="008B7334"/>
    <w:p w14:paraId="73029C29" w14:textId="77777777" w:rsidR="00A274FD" w:rsidRPr="008B7334" w:rsidRDefault="00A274FD" w:rsidP="008B7334"/>
    <w:p w14:paraId="48174440" w14:textId="44C34743" w:rsidR="008B7334" w:rsidRDefault="008B7334" w:rsidP="008B7334">
      <w:pPr>
        <w:rPr>
          <w:i/>
          <w:color w:val="323232" w:themeColor="text2"/>
        </w:rPr>
      </w:pPr>
      <w:bookmarkStart w:id="15" w:name="_Ref418094316"/>
      <w:bookmarkStart w:id="16" w:name="_Toc40962743"/>
      <w:r w:rsidRPr="008B7334">
        <w:rPr>
          <w:i/>
          <w:color w:val="323232" w:themeColor="text2"/>
        </w:rPr>
        <w:t>B.2.3. Changes to start date of crediting period</w:t>
      </w:r>
      <w:bookmarkEnd w:id="15"/>
      <w:bookmarkEnd w:id="16"/>
      <w:r w:rsidRPr="008B7334">
        <w:rPr>
          <w:i/>
          <w:color w:val="323232" w:themeColor="text2"/>
        </w:rPr>
        <w:t xml:space="preserve"> </w:t>
      </w:r>
    </w:p>
    <w:p w14:paraId="1291A152" w14:textId="77777777" w:rsidR="00A274FD" w:rsidRPr="008B7334" w:rsidRDefault="00A274FD" w:rsidP="008B7334">
      <w:pPr>
        <w:rPr>
          <w:i/>
          <w:color w:val="323232" w:themeColor="text2"/>
        </w:rPr>
      </w:pPr>
    </w:p>
    <w:p w14:paraId="690B5F00" w14:textId="77777777" w:rsidR="006932CA" w:rsidRPr="008C0528" w:rsidRDefault="006932CA" w:rsidP="006932CA">
      <w:pPr>
        <w:jc w:val="both"/>
        <w:rPr>
          <w:lang w:val="en-GB"/>
        </w:rPr>
      </w:pPr>
      <w:r w:rsidRPr="008C0528">
        <w:rPr>
          <w:lang w:val="en-GB"/>
        </w:rPr>
        <w:t>No changes to the start date of the crediting period have been approved by Gold Standard that is relevant for this monitoring period</w:t>
      </w:r>
      <w:r>
        <w:rPr>
          <w:lang w:val="en-GB"/>
        </w:rPr>
        <w:t>.</w:t>
      </w:r>
    </w:p>
    <w:p w14:paraId="692794C5" w14:textId="77777777" w:rsidR="008B7334" w:rsidRPr="008B7334" w:rsidRDefault="008B7334" w:rsidP="008B7334"/>
    <w:p w14:paraId="2E8345A6" w14:textId="77777777" w:rsidR="008B7334" w:rsidRPr="008B7334" w:rsidRDefault="008B7334" w:rsidP="008B7334">
      <w:pPr>
        <w:rPr>
          <w:i/>
          <w:color w:val="323232" w:themeColor="text2"/>
        </w:rPr>
      </w:pPr>
      <w:bookmarkStart w:id="17" w:name="_Ref418094322"/>
      <w:bookmarkStart w:id="18" w:name="_Toc40962744"/>
      <w:r w:rsidRPr="008B7334">
        <w:rPr>
          <w:i/>
          <w:color w:val="323232" w:themeColor="text2"/>
        </w:rPr>
        <w:t>B.2.4. Permanent changes from the Design Certified monitoring plan, applied methodology or applied standardized baseline</w:t>
      </w:r>
      <w:bookmarkEnd w:id="17"/>
      <w:bookmarkEnd w:id="18"/>
    </w:p>
    <w:p w14:paraId="7D13C359" w14:textId="77777777" w:rsidR="008B7334" w:rsidRPr="008B7334" w:rsidRDefault="008B7334" w:rsidP="008B7334">
      <w:pPr>
        <w:rPr>
          <w:color w:val="323232" w:themeColor="text2"/>
        </w:rPr>
      </w:pPr>
    </w:p>
    <w:p w14:paraId="7A3A298F" w14:textId="77777777" w:rsidR="008B7334" w:rsidRPr="008B7334" w:rsidRDefault="008B7334" w:rsidP="008B7334">
      <w:pPr>
        <w:rPr>
          <w:rFonts w:cs="Arial"/>
        </w:rPr>
      </w:pPr>
      <w:r w:rsidRPr="008B7334">
        <w:rPr>
          <w:rFonts w:cs="Arial"/>
          <w:szCs w:val="22"/>
        </w:rPr>
        <w:t>No permanent changes to the monitoring plan or applied methodology of the project activity have been approved during this monitoring period or submitted with this monitoring report.</w:t>
      </w:r>
    </w:p>
    <w:p w14:paraId="24595973" w14:textId="77777777" w:rsidR="008B7334" w:rsidRPr="008B7334" w:rsidRDefault="008B7334" w:rsidP="008B7334"/>
    <w:p w14:paraId="12C9460E" w14:textId="77777777" w:rsidR="008B7334" w:rsidRPr="008B7334" w:rsidRDefault="008B7334" w:rsidP="008B7334">
      <w:pPr>
        <w:rPr>
          <w:i/>
          <w:color w:val="323232" w:themeColor="text2"/>
        </w:rPr>
      </w:pPr>
      <w:bookmarkStart w:id="19" w:name="_Ref418094327"/>
      <w:bookmarkStart w:id="20" w:name="_Toc40962745"/>
      <w:r w:rsidRPr="008B7334">
        <w:rPr>
          <w:i/>
          <w:color w:val="323232" w:themeColor="text2"/>
        </w:rPr>
        <w:t>B.2.5. Changes to project design of approved project</w:t>
      </w:r>
      <w:bookmarkEnd w:id="19"/>
      <w:bookmarkEnd w:id="20"/>
    </w:p>
    <w:p w14:paraId="4E91402E" w14:textId="77777777" w:rsidR="008B7334" w:rsidRPr="008B7334" w:rsidRDefault="008B7334" w:rsidP="008B7334"/>
    <w:p w14:paraId="35580E49" w14:textId="77777777" w:rsidR="008B7334" w:rsidRPr="008B7334" w:rsidRDefault="008B7334" w:rsidP="008B7334">
      <w:pPr>
        <w:rPr>
          <w:rFonts w:cs="Arial"/>
        </w:rPr>
      </w:pPr>
      <w:r w:rsidRPr="008B7334">
        <w:rPr>
          <w:rFonts w:cs="Arial"/>
          <w:szCs w:val="22"/>
        </w:rPr>
        <w:t>No changes to the project design of the project activity have been approved during this monitoring period or submitted with this monitoring report.</w:t>
      </w:r>
    </w:p>
    <w:p w14:paraId="024B37AA" w14:textId="1AA32FF4" w:rsidR="00E51EF3" w:rsidRDefault="00E51EF3">
      <w:pPr>
        <w:spacing w:line="276" w:lineRule="auto"/>
        <w:contextualSpacing w:val="0"/>
      </w:pPr>
      <w:r>
        <w:br w:type="page"/>
      </w:r>
    </w:p>
    <w:p w14:paraId="55C52570" w14:textId="2B0E117D" w:rsidR="00816579" w:rsidRDefault="00465B23" w:rsidP="00846B3B">
      <w:pPr>
        <w:pStyle w:val="Heading4"/>
      </w:pPr>
      <w:bookmarkStart w:id="21" w:name="_Toc40962746"/>
      <w:bookmarkStart w:id="22" w:name="_Ref47706319"/>
      <w:bookmarkStart w:id="23" w:name="_Ref49860669"/>
      <w:r>
        <w:lastRenderedPageBreak/>
        <w:t xml:space="preserve">SECTION C. </w:t>
      </w:r>
      <w:r w:rsidR="00816579" w:rsidRPr="00241108">
        <w:t>DESCRIPTION OF MONITORING SYSTEM APPLIED BY THE PROJECT</w:t>
      </w:r>
      <w:bookmarkEnd w:id="21"/>
      <w:bookmarkEnd w:id="22"/>
      <w:bookmarkEnd w:id="23"/>
    </w:p>
    <w:p w14:paraId="32F101E7" w14:textId="77777777" w:rsidR="00846B3B" w:rsidRPr="000D7D44" w:rsidRDefault="00846B3B" w:rsidP="00846B3B">
      <w:pPr>
        <w:autoSpaceDE w:val="0"/>
        <w:autoSpaceDN w:val="0"/>
        <w:adjustRightInd w:val="0"/>
        <w:spacing w:after="0" w:line="240" w:lineRule="auto"/>
        <w:jc w:val="both"/>
        <w:rPr>
          <w:rFonts w:eastAsia="MS Mincho" w:cs="Arial"/>
          <w:b/>
          <w:color w:val="000000"/>
        </w:rPr>
      </w:pPr>
    </w:p>
    <w:p w14:paraId="62E2D20F" w14:textId="24F864BA" w:rsidR="00846B3B" w:rsidRPr="000D7D44" w:rsidRDefault="00846B3B" w:rsidP="00846B3B">
      <w:pPr>
        <w:rPr>
          <w:rFonts w:cs="Arial"/>
          <w:b/>
        </w:rPr>
      </w:pPr>
      <w:r w:rsidRPr="000D7D44">
        <w:rPr>
          <w:rFonts w:cs="Arial"/>
          <w:b/>
        </w:rPr>
        <w:t xml:space="preserve">Data collection procedures and </w:t>
      </w:r>
      <w:r w:rsidR="000D7D44" w:rsidRPr="000D7D44">
        <w:rPr>
          <w:rFonts w:cs="Arial"/>
          <w:b/>
        </w:rPr>
        <w:t>organizational</w:t>
      </w:r>
      <w:r w:rsidRPr="000D7D44">
        <w:rPr>
          <w:rFonts w:cs="Arial"/>
          <w:b/>
        </w:rPr>
        <w:t xml:space="preserve"> structure:</w:t>
      </w:r>
    </w:p>
    <w:p w14:paraId="32A16CCE" w14:textId="77777777" w:rsidR="00846B3B" w:rsidRPr="00846B3B" w:rsidRDefault="00846B3B" w:rsidP="00846B3B">
      <w:pPr>
        <w:autoSpaceDE w:val="0"/>
        <w:autoSpaceDN w:val="0"/>
        <w:adjustRightInd w:val="0"/>
        <w:rPr>
          <w:rFonts w:eastAsia="MS Mincho" w:cs="Arial"/>
          <w:color w:val="515151" w:themeColor="text1"/>
        </w:rPr>
      </w:pPr>
      <w:r w:rsidRPr="00846B3B">
        <w:rPr>
          <w:rFonts w:eastAsia="MS Mincho" w:cs="Arial"/>
          <w:color w:val="515151" w:themeColor="text1"/>
        </w:rPr>
        <w:t xml:space="preserve">The monitoring consists of three stages: </w:t>
      </w:r>
    </w:p>
    <w:p w14:paraId="75D7EF21" w14:textId="77777777" w:rsidR="00846B3B" w:rsidRPr="00846B3B" w:rsidRDefault="00846B3B" w:rsidP="00846B3B">
      <w:pPr>
        <w:autoSpaceDE w:val="0"/>
        <w:autoSpaceDN w:val="0"/>
        <w:adjustRightInd w:val="0"/>
        <w:rPr>
          <w:rFonts w:eastAsia="MS Mincho" w:cs="Arial"/>
          <w:color w:val="515151" w:themeColor="text1"/>
        </w:rPr>
      </w:pPr>
    </w:p>
    <w:p w14:paraId="77FDAC16" w14:textId="77777777" w:rsidR="00846B3B" w:rsidRPr="00846B3B" w:rsidRDefault="00846B3B" w:rsidP="00326F42">
      <w:pPr>
        <w:numPr>
          <w:ilvl w:val="0"/>
          <w:numId w:val="29"/>
        </w:numPr>
        <w:autoSpaceDE w:val="0"/>
        <w:autoSpaceDN w:val="0"/>
        <w:adjustRightInd w:val="0"/>
        <w:spacing w:after="0" w:line="240" w:lineRule="auto"/>
        <w:jc w:val="both"/>
        <w:rPr>
          <w:rFonts w:eastAsia="MS Mincho" w:cs="Arial"/>
          <w:color w:val="515151" w:themeColor="text1"/>
        </w:rPr>
      </w:pPr>
      <w:r w:rsidRPr="00846B3B">
        <w:rPr>
          <w:rFonts w:eastAsia="MS Mincho" w:cs="Arial"/>
          <w:color w:val="515151" w:themeColor="text1"/>
        </w:rPr>
        <w:t xml:space="preserve">(Continuous) Sales monitoring to determine </w:t>
      </w:r>
      <w:r w:rsidRPr="00846B3B">
        <w:rPr>
          <w:rFonts w:eastAsia="MS Mincho" w:cs="Arial"/>
          <w:i/>
          <w:color w:val="515151" w:themeColor="text1"/>
        </w:rPr>
        <w:t>N</w:t>
      </w:r>
      <w:r w:rsidRPr="00846B3B">
        <w:rPr>
          <w:rFonts w:eastAsia="MS Mincho" w:cs="Arial"/>
          <w:i/>
          <w:color w:val="515151" w:themeColor="text1"/>
          <w:vertAlign w:val="subscript"/>
        </w:rPr>
        <w:t>y</w:t>
      </w:r>
    </w:p>
    <w:p w14:paraId="59BFC5CC" w14:textId="77777777" w:rsidR="00846B3B" w:rsidRPr="00846B3B" w:rsidRDefault="00846B3B" w:rsidP="00846B3B">
      <w:pPr>
        <w:autoSpaceDE w:val="0"/>
        <w:autoSpaceDN w:val="0"/>
        <w:adjustRightInd w:val="0"/>
        <w:spacing w:after="0" w:line="240" w:lineRule="auto"/>
        <w:ind w:left="720"/>
        <w:jc w:val="both"/>
        <w:rPr>
          <w:rFonts w:eastAsia="MS Mincho" w:cs="Arial"/>
          <w:color w:val="515151" w:themeColor="text1"/>
        </w:rPr>
      </w:pPr>
    </w:p>
    <w:p w14:paraId="2685D0CE" w14:textId="77777777" w:rsidR="00846B3B" w:rsidRDefault="00846B3B" w:rsidP="00326F42">
      <w:pPr>
        <w:numPr>
          <w:ilvl w:val="0"/>
          <w:numId w:val="28"/>
        </w:numPr>
        <w:autoSpaceDE w:val="0"/>
        <w:autoSpaceDN w:val="0"/>
        <w:adjustRightInd w:val="0"/>
        <w:spacing w:after="0" w:line="240" w:lineRule="auto"/>
        <w:jc w:val="both"/>
        <w:rPr>
          <w:rFonts w:eastAsia="MS Mincho" w:cs="Arial"/>
          <w:color w:val="515151" w:themeColor="text1"/>
        </w:rPr>
      </w:pPr>
      <w:r w:rsidRPr="00846B3B">
        <w:rPr>
          <w:rFonts w:eastAsia="MS Mincho" w:cs="Arial"/>
          <w:color w:val="515151" w:themeColor="text1"/>
        </w:rPr>
        <w:t xml:space="preserve">Sample surveys to determine </w:t>
      </w:r>
      <w:r w:rsidRPr="00846B3B">
        <w:rPr>
          <w:rFonts w:eastAsia="MS Mincho" w:cs="Arial"/>
          <w:i/>
          <w:color w:val="515151" w:themeColor="text1"/>
        </w:rPr>
        <w:t>DO</w:t>
      </w:r>
      <w:r w:rsidRPr="00846B3B">
        <w:rPr>
          <w:rFonts w:eastAsia="MS Mincho" w:cs="Arial"/>
          <w:i/>
          <w:color w:val="515151" w:themeColor="text1"/>
          <w:vertAlign w:val="subscript"/>
        </w:rPr>
        <w:t>y</w:t>
      </w:r>
    </w:p>
    <w:p w14:paraId="517D4F21" w14:textId="77777777" w:rsidR="00846B3B" w:rsidRDefault="00846B3B" w:rsidP="00846B3B">
      <w:pPr>
        <w:autoSpaceDE w:val="0"/>
        <w:autoSpaceDN w:val="0"/>
        <w:adjustRightInd w:val="0"/>
        <w:spacing w:after="0" w:line="240" w:lineRule="auto"/>
        <w:ind w:left="720"/>
        <w:jc w:val="both"/>
        <w:rPr>
          <w:rFonts w:eastAsia="MS Mincho" w:cs="Arial"/>
          <w:color w:val="515151" w:themeColor="text1"/>
        </w:rPr>
      </w:pPr>
    </w:p>
    <w:p w14:paraId="494597FB" w14:textId="2BF42D5F" w:rsidR="00846B3B" w:rsidRPr="00846B3B" w:rsidRDefault="00846B3B" w:rsidP="00326F42">
      <w:pPr>
        <w:numPr>
          <w:ilvl w:val="0"/>
          <w:numId w:val="28"/>
        </w:numPr>
        <w:autoSpaceDE w:val="0"/>
        <w:autoSpaceDN w:val="0"/>
        <w:adjustRightInd w:val="0"/>
        <w:spacing w:after="0" w:line="240" w:lineRule="auto"/>
        <w:jc w:val="both"/>
        <w:rPr>
          <w:rFonts w:eastAsia="MS Mincho" w:cs="Arial"/>
          <w:color w:val="515151" w:themeColor="text1"/>
        </w:rPr>
      </w:pPr>
      <w:r w:rsidRPr="00846B3B">
        <w:rPr>
          <w:rFonts w:eastAsia="MS Mincho" w:cs="Arial"/>
          <w:color w:val="515151" w:themeColor="text1"/>
        </w:rPr>
        <w:t>Data compilation, quality control and drafting of the Monitoring Report</w:t>
      </w:r>
    </w:p>
    <w:p w14:paraId="0A38FAD7" w14:textId="76FBCC44" w:rsidR="00846B3B" w:rsidRPr="00846B3B" w:rsidRDefault="00846B3B" w:rsidP="008565D9">
      <w:pPr>
        <w:spacing w:after="0" w:line="240" w:lineRule="auto"/>
        <w:jc w:val="both"/>
        <w:rPr>
          <w:rFonts w:cs="Arial"/>
          <w:color w:val="515151" w:themeColor="text1"/>
        </w:rPr>
      </w:pPr>
    </w:p>
    <w:p w14:paraId="0DE441FE" w14:textId="77777777" w:rsidR="00846B3B" w:rsidRPr="00846B3B" w:rsidRDefault="00846B3B" w:rsidP="00846B3B">
      <w:pPr>
        <w:spacing w:after="0" w:line="240" w:lineRule="auto"/>
        <w:jc w:val="both"/>
        <w:rPr>
          <w:rFonts w:cs="Arial"/>
          <w:color w:val="515151" w:themeColor="text1"/>
        </w:rPr>
      </w:pPr>
    </w:p>
    <w:p w14:paraId="0C79A368" w14:textId="77777777" w:rsidR="00846B3B" w:rsidRPr="00846B3B" w:rsidRDefault="00846B3B" w:rsidP="00326F42">
      <w:pPr>
        <w:numPr>
          <w:ilvl w:val="0"/>
          <w:numId w:val="30"/>
        </w:numPr>
        <w:spacing w:after="0" w:line="240" w:lineRule="auto"/>
        <w:jc w:val="both"/>
        <w:rPr>
          <w:rFonts w:cs="Arial"/>
          <w:b/>
        </w:rPr>
      </w:pPr>
      <w:r w:rsidRPr="00846B3B">
        <w:rPr>
          <w:rFonts w:cs="Arial"/>
          <w:b/>
        </w:rPr>
        <w:t>Sales Monitoring</w:t>
      </w:r>
    </w:p>
    <w:p w14:paraId="317E7A6A" w14:textId="77777777" w:rsidR="00846B3B" w:rsidRPr="00846B3B" w:rsidRDefault="00846B3B" w:rsidP="00846B3B"/>
    <w:p w14:paraId="5C2AFFBC" w14:textId="1CBD94A8" w:rsidR="00846B3B" w:rsidRPr="00846B3B" w:rsidRDefault="00846B3B" w:rsidP="00846B3B">
      <w:pPr>
        <w:autoSpaceDE w:val="0"/>
        <w:autoSpaceDN w:val="0"/>
        <w:adjustRightInd w:val="0"/>
        <w:spacing w:after="0" w:line="240" w:lineRule="auto"/>
        <w:contextualSpacing w:val="0"/>
        <w:jc w:val="both"/>
        <w:rPr>
          <w:rFonts w:cs="Verdana"/>
          <w:color w:val="515151" w:themeColor="text1"/>
          <w:szCs w:val="20"/>
          <w:lang w:val="en-GB"/>
          <w14:cntxtAlts w14:val="0"/>
        </w:rPr>
      </w:pPr>
      <w:r w:rsidRPr="00846B3B">
        <w:rPr>
          <w:rFonts w:cs="Verdana"/>
          <w:color w:val="515151" w:themeColor="text1"/>
          <w:szCs w:val="20"/>
          <w:lang w:val="en-GB"/>
          <w14:cntxtAlts w14:val="0"/>
        </w:rPr>
        <w:t>Sales monitoring serves to determine the adjusted total number of biogas units commissioned until period y (</w:t>
      </w:r>
      <w:r w:rsidRPr="00846B3B">
        <w:rPr>
          <w:rFonts w:cs="Verdana"/>
          <w:i/>
          <w:iCs/>
          <w:color w:val="515151" w:themeColor="text1"/>
          <w:szCs w:val="20"/>
          <w:lang w:val="en-GB"/>
          <w14:cntxtAlts w14:val="0"/>
        </w:rPr>
        <w:t>N</w:t>
      </w:r>
      <w:r w:rsidRPr="00846B3B">
        <w:rPr>
          <w:rFonts w:cs="Verdana"/>
          <w:i/>
          <w:iCs/>
          <w:color w:val="515151" w:themeColor="text1"/>
          <w:szCs w:val="20"/>
          <w:vertAlign w:val="subscript"/>
          <w:lang w:val="en-GB"/>
          <w14:cntxtAlts w14:val="0"/>
        </w:rPr>
        <w:t>y</w:t>
      </w:r>
      <w:r w:rsidRPr="00846B3B">
        <w:rPr>
          <w:rFonts w:cs="Verdana"/>
          <w:color w:val="515151" w:themeColor="text1"/>
          <w:szCs w:val="20"/>
          <w:lang w:val="en-GB"/>
          <w14:cntxtAlts w14:val="0"/>
        </w:rPr>
        <w:t>). The following diagram illustrates the process of biogas unit commissioning and sales monitoring data flow including the organisational structure:</w:t>
      </w:r>
    </w:p>
    <w:p w14:paraId="2DE1B405" w14:textId="465B35A3" w:rsidR="00E51EF3" w:rsidRPr="003B1DEE" w:rsidRDefault="00846B3B" w:rsidP="00816579">
      <w:r>
        <w:rPr>
          <w:noProof/>
          <w:lang w:val="de-DE" w:eastAsia="de-DE"/>
        </w:rPr>
        <mc:AlternateContent>
          <mc:Choice Requires="wps">
            <w:drawing>
              <wp:anchor distT="0" distB="0" distL="114300" distR="114300" simplePos="0" relativeHeight="251665408" behindDoc="0" locked="0" layoutInCell="1" allowOverlap="1" wp14:anchorId="5345705C" wp14:editId="5987CB09">
                <wp:simplePos x="0" y="0"/>
                <wp:positionH relativeFrom="column">
                  <wp:posOffset>266700</wp:posOffset>
                </wp:positionH>
                <wp:positionV relativeFrom="paragraph">
                  <wp:posOffset>3901440</wp:posOffset>
                </wp:positionV>
                <wp:extent cx="3181350" cy="136525"/>
                <wp:effectExtent l="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3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2089D" w14:textId="77777777" w:rsidR="00B81D0C" w:rsidRPr="009D4F11" w:rsidRDefault="00B81D0C" w:rsidP="00846B3B">
                            <w:pPr>
                              <w:pStyle w:val="Caption"/>
                              <w:spacing w:before="0"/>
                              <w:rPr>
                                <w:rFonts w:eastAsia="MS Mincho" w:cs="Arial"/>
                                <w:noProof/>
                                <w:color w:val="000000"/>
                                <w:sz w:val="24"/>
                                <w:szCs w:val="24"/>
                                <w:lang w:eastAsia="en-GB"/>
                              </w:rPr>
                            </w:pPr>
                            <w:r>
                              <w:t xml:space="preserve">Figure </w:t>
                            </w:r>
                            <w:fldSimple w:instr=" SEQ Figure \* ARABIC ">
                              <w:r>
                                <w:rPr>
                                  <w:noProof/>
                                </w:rPr>
                                <w:t>2</w:t>
                              </w:r>
                            </w:fldSimple>
                            <w:r>
                              <w:t>: Sales Monitoring Flow Chart.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5705C" id="Text Box 6" o:spid="_x0000_s1027" type="#_x0000_t202" style="position:absolute;margin-left:21pt;margin-top:307.2pt;width:250.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" stroked="f">
                <v:textbox inset="0,0,0,0">
                  <w:txbxContent>
                    <w:p w14:paraId="3692089D" w14:textId="77777777" w:rsidR="00B81D0C" w:rsidRPr="009D4F11" w:rsidRDefault="00B81D0C" w:rsidP="00846B3B">
                      <w:pPr>
                        <w:pStyle w:val="Beschriftung"/>
                        <w:spacing w:before="0"/>
                        <w:rPr>
                          <w:rFonts w:eastAsia="MS Mincho" w:cs="Arial"/>
                          <w:noProof/>
                          <w:color w:val="000000"/>
                          <w:sz w:val="24"/>
                          <w:szCs w:val="24"/>
                          <w:lang w:eastAsia="en-GB"/>
                        </w:rPr>
                      </w:pPr>
                      <w:r>
                        <w:t xml:space="preserve">Figure </w:t>
                      </w:r>
                      <w:r w:rsidR="007247F9">
                        <w:fldChar w:fldCharType="begin"/>
                      </w:r>
                      <w:r w:rsidR="007247F9">
                        <w:instrText xml:space="preserve"> SEQ Figure \* ARABIC </w:instrText>
                      </w:r>
                      <w:r w:rsidR="007247F9">
                        <w:fldChar w:fldCharType="separate"/>
                      </w:r>
                      <w:r>
                        <w:rPr>
                          <w:noProof/>
                        </w:rPr>
                        <w:t>2</w:t>
                      </w:r>
                      <w:r w:rsidR="007247F9">
                        <w:rPr>
                          <w:noProof/>
                        </w:rPr>
                        <w:fldChar w:fldCharType="end"/>
                      </w:r>
                      <w:r>
                        <w:t>: Sales Monitoring Flow Chart.</w:t>
                      </w:r>
                    </w:p>
                  </w:txbxContent>
                </v:textbox>
                <w10:wrap type="topAndBottom"/>
              </v:shape>
            </w:pict>
          </mc:Fallback>
        </mc:AlternateContent>
      </w:r>
      <w:r>
        <w:rPr>
          <w:noProof/>
          <w:lang w:val="de-DE" w:eastAsia="de-DE"/>
        </w:rPr>
        <w:drawing>
          <wp:anchor distT="0" distB="0" distL="114300" distR="114300" simplePos="0" relativeHeight="251663360" behindDoc="1" locked="0" layoutInCell="1" allowOverlap="1" wp14:anchorId="355B004C" wp14:editId="0D0562C3">
            <wp:simplePos x="0" y="0"/>
            <wp:positionH relativeFrom="margin">
              <wp:align>left</wp:align>
            </wp:positionH>
            <wp:positionV relativeFrom="paragraph">
              <wp:posOffset>465455</wp:posOffset>
            </wp:positionV>
            <wp:extent cx="3181350" cy="3413125"/>
            <wp:effectExtent l="0" t="0" r="0" b="0"/>
            <wp:wrapTopAndBottom/>
            <wp:docPr id="4" name="Bild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4"/>
                    <pic:cNvPicPr>
                      <a:picLocks noChangeAspect="1" noChangeArrowheads="1"/>
                    </pic:cNvPicPr>
                  </pic:nvPicPr>
                  <pic:blipFill>
                    <a:blip r:embed="rId15">
                      <a:extLst>
                        <a:ext uri="{28A0092B-C50C-407E-A947-70E740481C1C}">
                          <a14:useLocalDpi xmlns:a14="http://schemas.microsoft.com/office/drawing/2010/main" val="0"/>
                        </a:ext>
                      </a:extLst>
                    </a:blip>
                    <a:srcRect l="18661" t="16721" r="30029" b="15982"/>
                    <a:stretch>
                      <a:fillRect/>
                    </a:stretch>
                  </pic:blipFill>
                  <pic:spPr bwMode="auto">
                    <a:xfrm>
                      <a:off x="0" y="0"/>
                      <a:ext cx="3181350" cy="341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83DB5" w14:textId="77777777" w:rsidR="00846B3B" w:rsidRDefault="00846B3B" w:rsidP="00846B3B">
      <w:pPr>
        <w:ind w:firstLine="426"/>
        <w:rPr>
          <w:rFonts w:cs="Arial"/>
          <w:i/>
        </w:rPr>
      </w:pPr>
      <w:bookmarkStart w:id="24" w:name="_Toc40962747"/>
      <w:bookmarkStart w:id="25" w:name="_Ref47706326"/>
      <w:bookmarkStart w:id="26" w:name="_Ref49860677"/>
    </w:p>
    <w:p w14:paraId="0D978923" w14:textId="77777777" w:rsidR="00846B3B" w:rsidRDefault="00846B3B" w:rsidP="00846B3B">
      <w:pPr>
        <w:ind w:firstLine="426"/>
        <w:rPr>
          <w:rFonts w:cs="Arial"/>
          <w:i/>
        </w:rPr>
      </w:pPr>
    </w:p>
    <w:p w14:paraId="0120B490" w14:textId="77777777" w:rsidR="00846B3B" w:rsidRDefault="00846B3B" w:rsidP="00846B3B">
      <w:pPr>
        <w:ind w:firstLine="426"/>
        <w:rPr>
          <w:rFonts w:cs="Arial"/>
          <w:i/>
        </w:rPr>
      </w:pPr>
    </w:p>
    <w:p w14:paraId="69AD9776" w14:textId="078050FB" w:rsidR="00846B3B" w:rsidRDefault="00846B3B" w:rsidP="00846B3B">
      <w:pPr>
        <w:ind w:firstLine="426"/>
        <w:rPr>
          <w:rFonts w:cs="Arial"/>
          <w:i/>
        </w:rPr>
      </w:pPr>
    </w:p>
    <w:p w14:paraId="60AF5FE9" w14:textId="77777777" w:rsidR="008565D9" w:rsidRDefault="008565D9" w:rsidP="00846B3B">
      <w:pPr>
        <w:ind w:firstLine="426"/>
        <w:rPr>
          <w:rFonts w:cs="Arial"/>
          <w:i/>
        </w:rPr>
      </w:pPr>
    </w:p>
    <w:p w14:paraId="4BAC708C" w14:textId="68E9BABB" w:rsidR="00846B3B" w:rsidRPr="003F5472" w:rsidRDefault="00846B3B" w:rsidP="00846B3B">
      <w:pPr>
        <w:ind w:firstLine="426"/>
        <w:rPr>
          <w:rFonts w:cs="Arial"/>
          <w:i/>
        </w:rPr>
      </w:pPr>
      <w:r w:rsidRPr="003F5472">
        <w:rPr>
          <w:rFonts w:cs="Arial"/>
          <w:i/>
        </w:rPr>
        <w:lastRenderedPageBreak/>
        <w:t xml:space="preserve">Data generation: </w:t>
      </w:r>
    </w:p>
    <w:p w14:paraId="31668E37" w14:textId="77777777" w:rsidR="00846B3B" w:rsidRPr="003D7DD7" w:rsidRDefault="00846B3B" w:rsidP="00A274FD">
      <w:r w:rsidRPr="003D7DD7">
        <w:t>Every end user acknowledges the purchase and conditions of usage of the biogas unit on a sales receipt. The sales receipt provides information on:</w:t>
      </w:r>
    </w:p>
    <w:p w14:paraId="466AA846" w14:textId="77777777" w:rsidR="00846B3B" w:rsidRPr="003D7DD7" w:rsidRDefault="00846B3B" w:rsidP="00326F42">
      <w:pPr>
        <w:pStyle w:val="ListParagraph"/>
        <w:numPr>
          <w:ilvl w:val="0"/>
          <w:numId w:val="31"/>
        </w:numPr>
      </w:pPr>
      <w:r w:rsidRPr="003D7DD7">
        <w:t>Type of biogas unit constructed (2m</w:t>
      </w:r>
      <w:r w:rsidRPr="00A274FD">
        <w:rPr>
          <w:vertAlign w:val="superscript"/>
        </w:rPr>
        <w:t>3</w:t>
      </w:r>
      <w:r w:rsidRPr="003D7DD7">
        <w:t xml:space="preserve"> or 3m</w:t>
      </w:r>
      <w:r w:rsidRPr="00A274FD">
        <w:rPr>
          <w:vertAlign w:val="superscript"/>
        </w:rPr>
        <w:t>3</w:t>
      </w:r>
      <w:r w:rsidRPr="003D7DD7">
        <w:t xml:space="preserve">) </w:t>
      </w:r>
    </w:p>
    <w:p w14:paraId="04C66C89" w14:textId="77777777" w:rsidR="00846B3B" w:rsidRPr="003D7DD7" w:rsidRDefault="00846B3B" w:rsidP="00326F42">
      <w:pPr>
        <w:pStyle w:val="ListParagraph"/>
        <w:numPr>
          <w:ilvl w:val="0"/>
          <w:numId w:val="31"/>
        </w:numPr>
      </w:pPr>
      <w:r w:rsidRPr="003D7DD7">
        <w:t>GPS coordinates of biogas unit</w:t>
      </w:r>
    </w:p>
    <w:p w14:paraId="4B3E74D9" w14:textId="77777777" w:rsidR="00846B3B" w:rsidRPr="003D7DD7" w:rsidRDefault="00846B3B" w:rsidP="00326F42">
      <w:pPr>
        <w:pStyle w:val="ListParagraph"/>
        <w:numPr>
          <w:ilvl w:val="0"/>
          <w:numId w:val="31"/>
        </w:numPr>
      </w:pPr>
      <w:r w:rsidRPr="003D7DD7">
        <w:t xml:space="preserve">Commissioning date of appliance </w:t>
      </w:r>
    </w:p>
    <w:p w14:paraId="361581B3" w14:textId="77777777" w:rsidR="00846B3B" w:rsidRPr="003D7DD7" w:rsidRDefault="00846B3B" w:rsidP="00326F42">
      <w:pPr>
        <w:pStyle w:val="ListParagraph"/>
        <w:numPr>
          <w:ilvl w:val="0"/>
          <w:numId w:val="31"/>
        </w:numPr>
      </w:pPr>
      <w:r w:rsidRPr="003D7DD7">
        <w:t xml:space="preserve">User details (Name, location, telephone number etc.) </w:t>
      </w:r>
    </w:p>
    <w:p w14:paraId="721D73D6" w14:textId="77777777" w:rsidR="00846B3B" w:rsidRPr="003D7DD7" w:rsidRDefault="00846B3B" w:rsidP="00326F42">
      <w:pPr>
        <w:pStyle w:val="ListParagraph"/>
        <w:numPr>
          <w:ilvl w:val="0"/>
          <w:numId w:val="31"/>
        </w:numPr>
      </w:pPr>
      <w:r w:rsidRPr="003D7DD7">
        <w:t xml:space="preserve">Implementing Entity/ Contact Person </w:t>
      </w:r>
    </w:p>
    <w:p w14:paraId="6EF1C157" w14:textId="77777777" w:rsidR="00846B3B" w:rsidRPr="003D7DD7" w:rsidRDefault="00846B3B" w:rsidP="00326F42">
      <w:pPr>
        <w:pStyle w:val="ListParagraph"/>
        <w:numPr>
          <w:ilvl w:val="0"/>
          <w:numId w:val="31"/>
        </w:numPr>
      </w:pPr>
      <w:r w:rsidRPr="003D7DD7">
        <w:t xml:space="preserve">Paid price and amount of subsidy </w:t>
      </w:r>
    </w:p>
    <w:p w14:paraId="4B931653" w14:textId="77777777" w:rsidR="00846B3B" w:rsidRPr="003D7DD7" w:rsidRDefault="00846B3B" w:rsidP="00846B3B">
      <w:pPr>
        <w:pStyle w:val="Default"/>
        <w:jc w:val="both"/>
        <w:rPr>
          <w:color w:val="515151" w:themeColor="text1"/>
          <w:sz w:val="22"/>
          <w:szCs w:val="20"/>
        </w:rPr>
      </w:pPr>
    </w:p>
    <w:p w14:paraId="64CC4165" w14:textId="032D2ECD" w:rsidR="00846B3B" w:rsidRDefault="00846B3B" w:rsidP="00846B3B">
      <w:pPr>
        <w:pStyle w:val="Default"/>
        <w:ind w:firstLine="426"/>
        <w:jc w:val="both"/>
        <w:rPr>
          <w:i/>
          <w:color w:val="515151" w:themeColor="text1"/>
          <w:sz w:val="22"/>
          <w:szCs w:val="20"/>
        </w:rPr>
      </w:pPr>
      <w:r w:rsidRPr="003D7DD7">
        <w:rPr>
          <w:i/>
          <w:color w:val="515151" w:themeColor="text1"/>
          <w:sz w:val="22"/>
          <w:szCs w:val="20"/>
        </w:rPr>
        <w:t xml:space="preserve">Data recording: </w:t>
      </w:r>
    </w:p>
    <w:p w14:paraId="77691043" w14:textId="77777777" w:rsidR="00A274FD" w:rsidRPr="003D7DD7" w:rsidRDefault="00A274FD" w:rsidP="00846B3B">
      <w:pPr>
        <w:pStyle w:val="Default"/>
        <w:ind w:firstLine="426"/>
        <w:jc w:val="both"/>
        <w:rPr>
          <w:i/>
          <w:color w:val="515151" w:themeColor="text1"/>
          <w:sz w:val="22"/>
          <w:szCs w:val="20"/>
        </w:rPr>
      </w:pPr>
    </w:p>
    <w:p w14:paraId="0AF5B854" w14:textId="77777777" w:rsidR="00846B3B" w:rsidRPr="003D7DD7" w:rsidRDefault="00846B3B" w:rsidP="00A274FD">
      <w:r w:rsidRPr="003D7DD7">
        <w:t xml:space="preserve">The data manager or representative of SES collect the sales receipts from the end users and enter the information from the sales receipts into an electronic database (the “sales records database”). </w:t>
      </w:r>
    </w:p>
    <w:p w14:paraId="0FAD32EE" w14:textId="77777777" w:rsidR="00846B3B" w:rsidRPr="003D7DD7" w:rsidRDefault="00846B3B" w:rsidP="00846B3B">
      <w:pPr>
        <w:pStyle w:val="Default"/>
        <w:ind w:left="426"/>
        <w:jc w:val="both"/>
        <w:rPr>
          <w:color w:val="515151" w:themeColor="text1"/>
          <w:sz w:val="22"/>
          <w:szCs w:val="20"/>
        </w:rPr>
      </w:pPr>
    </w:p>
    <w:p w14:paraId="028781B9" w14:textId="57A412A9" w:rsidR="00846B3B" w:rsidRDefault="00846B3B" w:rsidP="00846B3B">
      <w:pPr>
        <w:pStyle w:val="Default"/>
        <w:ind w:firstLine="426"/>
        <w:jc w:val="both"/>
        <w:rPr>
          <w:i/>
          <w:color w:val="515151" w:themeColor="text1"/>
          <w:sz w:val="22"/>
          <w:szCs w:val="20"/>
        </w:rPr>
      </w:pPr>
      <w:r w:rsidRPr="003D7DD7">
        <w:rPr>
          <w:i/>
          <w:color w:val="515151" w:themeColor="text1"/>
          <w:sz w:val="22"/>
          <w:szCs w:val="20"/>
        </w:rPr>
        <w:t>Data aggregation and reporting:</w:t>
      </w:r>
    </w:p>
    <w:p w14:paraId="4C6CCE3C" w14:textId="77777777" w:rsidR="00A274FD" w:rsidRDefault="00A274FD" w:rsidP="00846B3B">
      <w:pPr>
        <w:pStyle w:val="Default"/>
        <w:ind w:firstLine="426"/>
        <w:jc w:val="both"/>
        <w:rPr>
          <w:i/>
          <w:color w:val="515151" w:themeColor="text1"/>
          <w:sz w:val="22"/>
          <w:szCs w:val="20"/>
        </w:rPr>
      </w:pPr>
    </w:p>
    <w:p w14:paraId="10922246" w14:textId="791542D4" w:rsidR="00A317D9" w:rsidRDefault="00A317D9" w:rsidP="00A274FD">
      <w:pPr>
        <w:rPr>
          <w:lang w:val="en-GB"/>
        </w:rPr>
      </w:pPr>
      <w:r w:rsidRPr="00A317D9">
        <w:rPr>
          <w:lang w:val="en-GB"/>
        </w:rPr>
        <w:t>The data manager of SES submits both, copies of the sales receipt and the electronic datasets from the sales receipts to atmosfair. atmosfair checks for inconsistencies and instructs distributors to take corrective action if necessary.</w:t>
      </w:r>
    </w:p>
    <w:p w14:paraId="3FB1BFBE" w14:textId="77777777" w:rsidR="008565D9" w:rsidRPr="00A317D9" w:rsidRDefault="008565D9" w:rsidP="00A317D9">
      <w:pPr>
        <w:autoSpaceDE w:val="0"/>
        <w:autoSpaceDN w:val="0"/>
        <w:adjustRightInd w:val="0"/>
        <w:spacing w:before="240" w:after="0" w:line="240" w:lineRule="auto"/>
        <w:ind w:left="426"/>
        <w:contextualSpacing w:val="0"/>
        <w:jc w:val="both"/>
        <w:rPr>
          <w:rFonts w:cs="Verdana"/>
          <w:color w:val="515151" w:themeColor="text1"/>
          <w:szCs w:val="20"/>
          <w:lang w:val="en-GB"/>
          <w14:cntxtAlts w14:val="0"/>
        </w:rPr>
      </w:pPr>
    </w:p>
    <w:p w14:paraId="127EAA5D" w14:textId="4B7575B9" w:rsidR="008565D9" w:rsidRPr="000D7D44" w:rsidRDefault="008565D9" w:rsidP="00326F42">
      <w:pPr>
        <w:pStyle w:val="ListParagraph"/>
        <w:numPr>
          <w:ilvl w:val="0"/>
          <w:numId w:val="30"/>
        </w:numPr>
        <w:spacing w:after="0" w:line="240" w:lineRule="auto"/>
        <w:jc w:val="both"/>
        <w:rPr>
          <w:rFonts w:cs="Arial"/>
          <w:b/>
        </w:rPr>
      </w:pPr>
      <w:r w:rsidRPr="000D7D44">
        <w:rPr>
          <w:rFonts w:cs="Arial"/>
          <w:b/>
        </w:rPr>
        <w:t>Sample surveys</w:t>
      </w:r>
    </w:p>
    <w:p w14:paraId="205A7167" w14:textId="77777777" w:rsidR="008565D9" w:rsidRPr="008565D9" w:rsidRDefault="008565D9" w:rsidP="008565D9">
      <w:pPr>
        <w:rPr>
          <w:rFonts w:cs="Arial"/>
        </w:rPr>
      </w:pPr>
    </w:p>
    <w:p w14:paraId="48BD3810" w14:textId="77777777" w:rsidR="008565D9" w:rsidRPr="008565D9" w:rsidRDefault="008565D9" w:rsidP="008565D9">
      <w:pPr>
        <w:autoSpaceDE w:val="0"/>
        <w:autoSpaceDN w:val="0"/>
        <w:adjustRightInd w:val="0"/>
        <w:spacing w:after="0" w:line="240" w:lineRule="auto"/>
        <w:contextualSpacing w:val="0"/>
        <w:jc w:val="both"/>
        <w:rPr>
          <w:rFonts w:cs="Verdana"/>
          <w:color w:val="515151" w:themeColor="text1"/>
          <w:szCs w:val="20"/>
          <w:lang w:val="en-GB"/>
          <w14:cntxtAlts w14:val="0"/>
        </w:rPr>
      </w:pPr>
      <w:r w:rsidRPr="008565D9">
        <w:rPr>
          <w:rFonts w:cs="Verdana"/>
          <w:color w:val="515151" w:themeColor="text1"/>
          <w:szCs w:val="20"/>
          <w:lang w:val="en-GB"/>
          <w14:cntxtAlts w14:val="0"/>
        </w:rPr>
        <w:t>Sample surveys are conducted that serve to determine the statistically adjusted drop out from total population of appliances in period y (</w:t>
      </w:r>
      <w:r w:rsidRPr="008565D9">
        <w:rPr>
          <w:rFonts w:cs="Verdana"/>
          <w:i/>
          <w:iCs/>
          <w:color w:val="515151" w:themeColor="text1"/>
          <w:szCs w:val="20"/>
          <w:lang w:val="en-GB"/>
          <w14:cntxtAlts w14:val="0"/>
        </w:rPr>
        <w:t>DO</w:t>
      </w:r>
      <w:r w:rsidRPr="008565D9">
        <w:rPr>
          <w:rFonts w:cs="Verdana"/>
          <w:i/>
          <w:iCs/>
          <w:color w:val="515151" w:themeColor="text1"/>
          <w:szCs w:val="20"/>
          <w:vertAlign w:val="subscript"/>
          <w:lang w:val="en-GB"/>
          <w14:cntxtAlts w14:val="0"/>
        </w:rPr>
        <w:t>y</w:t>
      </w:r>
      <w:r w:rsidRPr="008565D9">
        <w:rPr>
          <w:rFonts w:cs="Verdana"/>
          <w:color w:val="515151" w:themeColor="text1"/>
          <w:szCs w:val="20"/>
          <w:lang w:val="en-GB"/>
          <w14:cntxtAlts w14:val="0"/>
        </w:rPr>
        <w:t>).</w:t>
      </w:r>
    </w:p>
    <w:p w14:paraId="1E1C87C5" w14:textId="77777777" w:rsidR="008565D9" w:rsidRPr="008565D9" w:rsidRDefault="008565D9" w:rsidP="008565D9">
      <w:pPr>
        <w:autoSpaceDE w:val="0"/>
        <w:autoSpaceDN w:val="0"/>
        <w:adjustRightInd w:val="0"/>
        <w:spacing w:after="0" w:line="240" w:lineRule="auto"/>
        <w:contextualSpacing w:val="0"/>
        <w:jc w:val="both"/>
        <w:rPr>
          <w:rFonts w:cs="Verdana"/>
          <w:color w:val="515151" w:themeColor="text1"/>
          <w:szCs w:val="20"/>
          <w:lang w:val="en-GB"/>
          <w14:cntxtAlts w14:val="0"/>
        </w:rPr>
      </w:pPr>
    </w:p>
    <w:p w14:paraId="47914EC2" w14:textId="265BEFAB" w:rsidR="008565D9" w:rsidRPr="008565D9" w:rsidRDefault="008565D9" w:rsidP="008565D9">
      <w:pPr>
        <w:rPr>
          <w:rFonts w:cs="Arial"/>
          <w:color w:val="515151" w:themeColor="text1"/>
        </w:rPr>
      </w:pPr>
      <w:r>
        <w:rPr>
          <w:noProof/>
          <w:lang w:val="de-DE" w:eastAsia="de-DE"/>
        </w:rPr>
        <w:drawing>
          <wp:anchor distT="0" distB="0" distL="114300" distR="114300" simplePos="0" relativeHeight="251667456" behindDoc="0" locked="0" layoutInCell="1" allowOverlap="1" wp14:anchorId="75C5519C" wp14:editId="73AF18B3">
            <wp:simplePos x="0" y="0"/>
            <wp:positionH relativeFrom="margin">
              <wp:align>left</wp:align>
            </wp:positionH>
            <wp:positionV relativeFrom="paragraph">
              <wp:posOffset>574040</wp:posOffset>
            </wp:positionV>
            <wp:extent cx="6200775" cy="1581785"/>
            <wp:effectExtent l="0" t="0" r="9525" b="0"/>
            <wp:wrapTopAndBottom/>
            <wp:docPr id="7" name="Bild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7"/>
                    <pic:cNvPicPr>
                      <a:picLocks noChangeAspect="1" noChangeArrowheads="1"/>
                    </pic:cNvPicPr>
                  </pic:nvPicPr>
                  <pic:blipFill>
                    <a:blip r:embed="rId16">
                      <a:extLst>
                        <a:ext uri="{28A0092B-C50C-407E-A947-70E740481C1C}">
                          <a14:useLocalDpi xmlns:a14="http://schemas.microsoft.com/office/drawing/2010/main" val="0"/>
                        </a:ext>
                      </a:extLst>
                    </a:blip>
                    <a:srcRect l="3868" t="17015" r="5936" b="54036"/>
                    <a:stretch>
                      <a:fillRect/>
                    </a:stretch>
                  </pic:blipFill>
                  <pic:spPr bwMode="auto">
                    <a:xfrm>
                      <a:off x="0" y="0"/>
                      <a:ext cx="6200775" cy="1581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5D9">
        <w:rPr>
          <w:rFonts w:cs="Arial"/>
          <w:color w:val="515151" w:themeColor="text1"/>
        </w:rPr>
        <w:t>The sample survey data flow including organisational structure is illustrated in the following line diagram:</w:t>
      </w:r>
    </w:p>
    <w:p w14:paraId="5F914749" w14:textId="556EA7A7" w:rsidR="008565D9" w:rsidRDefault="008565D9" w:rsidP="008565D9">
      <w:pPr>
        <w:pStyle w:val="Default"/>
        <w:jc w:val="both"/>
        <w:rPr>
          <w:i/>
          <w:color w:val="515151" w:themeColor="text1"/>
          <w:sz w:val="22"/>
          <w:szCs w:val="20"/>
          <w:lang w:val="en-US"/>
        </w:rPr>
      </w:pPr>
      <w:r>
        <w:rPr>
          <w:noProof/>
          <w:lang w:val="de-DE" w:eastAsia="de-DE"/>
        </w:rPr>
        <mc:AlternateContent>
          <mc:Choice Requires="wps">
            <w:drawing>
              <wp:anchor distT="0" distB="0" distL="114300" distR="114300" simplePos="0" relativeHeight="251671552" behindDoc="0" locked="0" layoutInCell="1" allowOverlap="1" wp14:anchorId="1122A0DD" wp14:editId="7882070A">
                <wp:simplePos x="0" y="0"/>
                <wp:positionH relativeFrom="column">
                  <wp:posOffset>0</wp:posOffset>
                </wp:positionH>
                <wp:positionV relativeFrom="paragraph">
                  <wp:posOffset>1686560</wp:posOffset>
                </wp:positionV>
                <wp:extent cx="6200775" cy="222250"/>
                <wp:effectExtent l="0" t="0" r="0" b="0"/>
                <wp:wrapTopAndBottom/>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73F47" w14:textId="77777777" w:rsidR="00B81D0C" w:rsidRPr="00D14359" w:rsidRDefault="00B81D0C" w:rsidP="008565D9">
                            <w:pPr>
                              <w:pStyle w:val="Caption"/>
                              <w:spacing w:before="0"/>
                              <w:rPr>
                                <w:noProof/>
                              </w:rPr>
                            </w:pPr>
                            <w:r>
                              <w:t xml:space="preserve">Figure </w:t>
                            </w:r>
                            <w:fldSimple w:instr=" SEQ Figure \* ARABIC ">
                              <w:r>
                                <w:rPr>
                                  <w:noProof/>
                                </w:rPr>
                                <w:t>3</w:t>
                              </w:r>
                            </w:fldSimple>
                            <w:r>
                              <w:t>: Sample Survey Flow Chart.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22A0DD" id="Text Box 8" o:spid="_x0000_s1028" type="#_x0000_t202" style="position:absolute;left:0;text-align:left;margin-left:0;margin-top:132.8pt;width:488.25pt;height: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" stroked="f">
                <v:textbox style="mso-fit-shape-to-text:t" inset="0,0,0,0">
                  <w:txbxContent>
                    <w:p w14:paraId="34D73F47" w14:textId="77777777" w:rsidR="00B81D0C" w:rsidRPr="00D14359" w:rsidRDefault="00B81D0C" w:rsidP="008565D9">
                      <w:pPr>
                        <w:pStyle w:val="Beschriftung"/>
                        <w:spacing w:before="0"/>
                        <w:rPr>
                          <w:noProof/>
                        </w:rPr>
                      </w:pPr>
                      <w:r>
                        <w:t xml:space="preserve">Figure </w:t>
                      </w:r>
                      <w:r w:rsidR="007247F9">
                        <w:fldChar w:fldCharType="begin"/>
                      </w:r>
                      <w:r w:rsidR="007247F9">
                        <w:instrText xml:space="preserve"> SEQ Figure \* ARABIC </w:instrText>
                      </w:r>
                      <w:r w:rsidR="007247F9">
                        <w:fldChar w:fldCharType="separate"/>
                      </w:r>
                      <w:r>
                        <w:rPr>
                          <w:noProof/>
                        </w:rPr>
                        <w:t>3</w:t>
                      </w:r>
                      <w:r w:rsidR="007247F9">
                        <w:rPr>
                          <w:noProof/>
                        </w:rPr>
                        <w:fldChar w:fldCharType="end"/>
                      </w:r>
                      <w:r>
                        <w:t>: Sample Survey Flow Chart.</w:t>
                      </w:r>
                    </w:p>
                  </w:txbxContent>
                </v:textbox>
                <w10:wrap type="topAndBottom"/>
              </v:shape>
            </w:pict>
          </mc:Fallback>
        </mc:AlternateContent>
      </w:r>
    </w:p>
    <w:p w14:paraId="7674E2E4" w14:textId="5517D6A4" w:rsidR="008565D9" w:rsidRDefault="008565D9" w:rsidP="008565D9">
      <w:pPr>
        <w:pStyle w:val="Default"/>
        <w:jc w:val="both"/>
        <w:rPr>
          <w:i/>
          <w:color w:val="515151" w:themeColor="text1"/>
          <w:sz w:val="22"/>
          <w:szCs w:val="20"/>
          <w:lang w:val="en-US"/>
        </w:rPr>
      </w:pPr>
      <w:r w:rsidRPr="008565D9">
        <w:rPr>
          <w:i/>
          <w:color w:val="515151" w:themeColor="text1"/>
          <w:sz w:val="22"/>
          <w:szCs w:val="20"/>
          <w:lang w:val="en-US"/>
        </w:rPr>
        <w:lastRenderedPageBreak/>
        <w:t>Data generation:</w:t>
      </w:r>
    </w:p>
    <w:p w14:paraId="0E923576" w14:textId="77777777" w:rsidR="00A274FD" w:rsidRPr="008565D9" w:rsidRDefault="00A274FD" w:rsidP="008565D9">
      <w:pPr>
        <w:pStyle w:val="Default"/>
        <w:jc w:val="both"/>
        <w:rPr>
          <w:i/>
          <w:color w:val="515151" w:themeColor="text1"/>
          <w:sz w:val="22"/>
          <w:szCs w:val="20"/>
          <w:lang w:val="en-US"/>
        </w:rPr>
      </w:pPr>
    </w:p>
    <w:p w14:paraId="7D313165" w14:textId="71482079" w:rsidR="008565D9" w:rsidRPr="008565D9" w:rsidRDefault="008565D9" w:rsidP="00A274FD">
      <w:r w:rsidRPr="008565D9">
        <w:t xml:space="preserve">atmosfair draws a random sample from the sales records database and submits the electronic sample including user details to the monitoring team. The monitoring team conducts the surveys (user interviews) at the end user locations. </w:t>
      </w:r>
    </w:p>
    <w:p w14:paraId="6340F789" w14:textId="2308722F" w:rsidR="008565D9" w:rsidRPr="008565D9" w:rsidRDefault="008565D9" w:rsidP="00A274FD"/>
    <w:p w14:paraId="4E6528BF" w14:textId="2E389CEE" w:rsidR="008565D9" w:rsidRPr="008565D9" w:rsidRDefault="008565D9" w:rsidP="00A274FD">
      <w:r w:rsidRPr="008565D9">
        <w:t>This monitoring period (31/12/2018 – 30/12/2020) covers the years seven and eight of the ten year crediting period. On 09/02/2021 the random sample was drawn on the basis of all units commissioned until 30/12/2020. The monitoring team conducted the interviews for this between 08/04/2021 and 30/05/2021.</w:t>
      </w:r>
    </w:p>
    <w:p w14:paraId="19D90965" w14:textId="1F726BF5" w:rsidR="008565D9" w:rsidRPr="008565D9" w:rsidRDefault="008565D9" w:rsidP="00A274FD"/>
    <w:p w14:paraId="364A31A6" w14:textId="704E2B8F" w:rsidR="008565D9" w:rsidRPr="008565D9" w:rsidRDefault="008565D9" w:rsidP="00A274FD">
      <w:r w:rsidRPr="008565D9">
        <w:t xml:space="preserve">Results from the monitoring are used for the calculation of emission reductions for the </w:t>
      </w:r>
      <w:r w:rsidR="0015085A">
        <w:t>fourth</w:t>
      </w:r>
      <w:r w:rsidRPr="008565D9">
        <w:t xml:space="preserve"> monitoring period (31/12/2018 – 30/12/2020) and are shown separately within the presented monitoring report. </w:t>
      </w:r>
    </w:p>
    <w:p w14:paraId="575F6B7E" w14:textId="04ABAE7A" w:rsidR="008565D9" w:rsidRPr="008565D9" w:rsidRDefault="008565D9" w:rsidP="008565D9">
      <w:pPr>
        <w:pStyle w:val="Default"/>
        <w:jc w:val="both"/>
        <w:rPr>
          <w:i/>
          <w:color w:val="515151" w:themeColor="text1"/>
          <w:sz w:val="22"/>
          <w:szCs w:val="20"/>
          <w:lang w:val="en-US"/>
        </w:rPr>
      </w:pPr>
    </w:p>
    <w:p w14:paraId="02ABB7D7" w14:textId="20884514" w:rsidR="008565D9" w:rsidRDefault="008565D9" w:rsidP="008565D9">
      <w:pPr>
        <w:pStyle w:val="Default"/>
        <w:jc w:val="both"/>
        <w:rPr>
          <w:i/>
          <w:color w:val="515151" w:themeColor="text1"/>
          <w:sz w:val="22"/>
          <w:szCs w:val="20"/>
          <w:lang w:val="en-US"/>
        </w:rPr>
      </w:pPr>
      <w:r w:rsidRPr="008565D9">
        <w:rPr>
          <w:i/>
          <w:color w:val="515151" w:themeColor="text1"/>
          <w:sz w:val="22"/>
          <w:szCs w:val="20"/>
          <w:lang w:val="en-US"/>
        </w:rPr>
        <w:t xml:space="preserve">Data recording: </w:t>
      </w:r>
    </w:p>
    <w:p w14:paraId="26CED1D4" w14:textId="77777777" w:rsidR="00A274FD" w:rsidRPr="008565D9" w:rsidRDefault="00A274FD" w:rsidP="008565D9">
      <w:pPr>
        <w:pStyle w:val="Default"/>
        <w:jc w:val="both"/>
        <w:rPr>
          <w:i/>
          <w:color w:val="515151" w:themeColor="text1"/>
          <w:sz w:val="22"/>
          <w:szCs w:val="20"/>
          <w:lang w:val="en-US"/>
        </w:rPr>
      </w:pPr>
    </w:p>
    <w:p w14:paraId="10B85846" w14:textId="77777777" w:rsidR="008565D9" w:rsidRPr="008565D9" w:rsidRDefault="008565D9" w:rsidP="00A274FD">
      <w:pPr>
        <w:rPr>
          <w:i/>
        </w:rPr>
      </w:pPr>
      <w:r w:rsidRPr="008565D9">
        <w:t>The monitoring team records the information from the user interviews on questionnaires</w:t>
      </w:r>
      <w:r w:rsidRPr="008565D9">
        <w:rPr>
          <w:i/>
        </w:rPr>
        <w:t xml:space="preserve">. </w:t>
      </w:r>
    </w:p>
    <w:p w14:paraId="0B1F2C82" w14:textId="08DCEDF7" w:rsidR="008565D9" w:rsidRPr="008565D9" w:rsidRDefault="008565D9" w:rsidP="00A274FD">
      <w:pPr>
        <w:rPr>
          <w:i/>
        </w:rPr>
      </w:pPr>
    </w:p>
    <w:p w14:paraId="57DCB673" w14:textId="55602757" w:rsidR="008565D9" w:rsidRDefault="008565D9" w:rsidP="00A274FD">
      <w:pPr>
        <w:rPr>
          <w:i/>
        </w:rPr>
      </w:pPr>
      <w:r w:rsidRPr="008565D9">
        <w:rPr>
          <w:i/>
        </w:rPr>
        <w:t xml:space="preserve">Data aggregation and reporting: </w:t>
      </w:r>
    </w:p>
    <w:p w14:paraId="64D21BA1" w14:textId="77777777" w:rsidR="00A274FD" w:rsidRPr="008565D9" w:rsidRDefault="00A274FD" w:rsidP="00A274FD">
      <w:pPr>
        <w:rPr>
          <w:rFonts w:cs="Verdana"/>
          <w:i/>
          <w14:cntxtAlts w14:val="0"/>
        </w:rPr>
      </w:pPr>
    </w:p>
    <w:p w14:paraId="5D249B61" w14:textId="6686AE61" w:rsidR="008565D9" w:rsidRPr="008565D9" w:rsidRDefault="008565D9" w:rsidP="00A274FD">
      <w:pPr>
        <w:rPr>
          <w:rFonts w:cs="Verdana"/>
          <w:lang w:val="en-GB"/>
          <w14:cntxtAlts w14:val="0"/>
        </w:rPr>
      </w:pPr>
      <w:r w:rsidRPr="008565D9">
        <w:rPr>
          <w:rFonts w:cs="Verdana"/>
          <w:lang w:val="en-GB"/>
          <w14:cntxtAlts w14:val="0"/>
        </w:rPr>
        <w:t xml:space="preserve">The monitoring team submits the questionnaires and the data entry forms to atmosfair. atmosfair checks for inconsistencies and instructs the monitoring team to take corrective actions if necessary. atmosfair aggregates and reports the results in an inspection database. </w:t>
      </w:r>
    </w:p>
    <w:p w14:paraId="7A873583" w14:textId="77777777" w:rsidR="008565D9" w:rsidRPr="008565D9" w:rsidRDefault="008565D9" w:rsidP="008565D9">
      <w:pPr>
        <w:spacing w:before="240"/>
        <w:rPr>
          <w:rFonts w:cs="Arial"/>
          <w:color w:val="515151" w:themeColor="text1"/>
        </w:rPr>
      </w:pPr>
    </w:p>
    <w:p w14:paraId="6069B838" w14:textId="2B4B1591" w:rsidR="008565D9" w:rsidRPr="008565D9" w:rsidRDefault="008565D9" w:rsidP="008565D9">
      <w:pPr>
        <w:spacing w:before="240"/>
        <w:rPr>
          <w:color w:val="515151" w:themeColor="text1"/>
        </w:rPr>
      </w:pPr>
      <w:r w:rsidRPr="008565D9">
        <w:rPr>
          <w:rFonts w:cs="Arial"/>
          <w:color w:val="515151" w:themeColor="text1"/>
        </w:rPr>
        <w:t xml:space="preserve">For the detailed sampling plan, see section </w:t>
      </w:r>
      <w:r w:rsidRPr="008565D9">
        <w:rPr>
          <w:rFonts w:cs="Arial"/>
          <w:color w:val="515151" w:themeColor="text1"/>
        </w:rPr>
        <w:fldChar w:fldCharType="begin"/>
      </w:r>
      <w:r w:rsidRPr="008565D9">
        <w:rPr>
          <w:rFonts w:cs="Arial"/>
          <w:color w:val="515151" w:themeColor="text1"/>
        </w:rPr>
        <w:instrText xml:space="preserve"> REF _Ref495495231 \r \h  \* MERGEFORMAT </w:instrText>
      </w:r>
      <w:r w:rsidRPr="008565D9">
        <w:rPr>
          <w:rFonts w:cs="Arial"/>
          <w:color w:val="515151" w:themeColor="text1"/>
        </w:rPr>
      </w:r>
      <w:r w:rsidRPr="008565D9">
        <w:rPr>
          <w:rFonts w:cs="Arial"/>
          <w:color w:val="515151" w:themeColor="text1"/>
        </w:rPr>
        <w:fldChar w:fldCharType="separate"/>
      </w:r>
      <w:r w:rsidRPr="008565D9">
        <w:rPr>
          <w:rFonts w:cs="Arial"/>
          <w:color w:val="515151" w:themeColor="text1"/>
        </w:rPr>
        <w:t>D.3</w:t>
      </w:r>
      <w:r w:rsidRPr="008565D9">
        <w:rPr>
          <w:rFonts w:cs="Arial"/>
          <w:color w:val="515151" w:themeColor="text1"/>
        </w:rPr>
        <w:fldChar w:fldCharType="end"/>
      </w:r>
      <w:r w:rsidRPr="008565D9">
        <w:rPr>
          <w:rFonts w:cs="Arial"/>
          <w:color w:val="515151" w:themeColor="text1"/>
        </w:rPr>
        <w:t>.</w:t>
      </w:r>
    </w:p>
    <w:p w14:paraId="3EB73259" w14:textId="77777777" w:rsidR="00B8202D" w:rsidRPr="00B8202D" w:rsidRDefault="00B8202D" w:rsidP="00B8202D"/>
    <w:p w14:paraId="1513512F" w14:textId="573A3BFD" w:rsidR="00B8202D" w:rsidRPr="000D7D44" w:rsidRDefault="00B8202D" w:rsidP="00326F42">
      <w:pPr>
        <w:pStyle w:val="ListParagraph"/>
        <w:numPr>
          <w:ilvl w:val="0"/>
          <w:numId w:val="30"/>
        </w:numPr>
        <w:spacing w:after="0" w:line="240" w:lineRule="auto"/>
        <w:jc w:val="both"/>
        <w:rPr>
          <w:rFonts w:cs="Arial"/>
          <w:b/>
          <w:color w:val="515151" w:themeColor="text1"/>
        </w:rPr>
      </w:pPr>
      <w:r w:rsidRPr="000D7D44">
        <w:rPr>
          <w:rFonts w:eastAsia="MS Mincho" w:cs="Arial"/>
          <w:b/>
          <w:color w:val="515151" w:themeColor="text1"/>
        </w:rPr>
        <w:t>Data compilation, quality control and drafting of the Monitoring Report</w:t>
      </w:r>
    </w:p>
    <w:p w14:paraId="211E2B2D" w14:textId="77777777" w:rsidR="00B8202D" w:rsidRPr="00B8202D" w:rsidRDefault="00B8202D" w:rsidP="00B8202D"/>
    <w:p w14:paraId="1D6B328B" w14:textId="30EF7FDA" w:rsidR="00B8202D" w:rsidRDefault="00B8202D" w:rsidP="00B8202D">
      <w:pPr>
        <w:rPr>
          <w:rFonts w:cs="Arial"/>
        </w:rPr>
      </w:pPr>
      <w:r w:rsidRPr="00B8202D">
        <w:rPr>
          <w:rFonts w:cs="Arial"/>
        </w:rPr>
        <w:t>atmosfair finally transfers the parameter values from the sales records database and from the inspection database to an Excel spreadsheet containing the equations to calculate the emission reductions of the monitoring period. The achieved values are reported in the monitoring report.</w:t>
      </w:r>
    </w:p>
    <w:p w14:paraId="6F089E84" w14:textId="43E3D973" w:rsidR="00B8202D" w:rsidRDefault="00B8202D" w:rsidP="00B8202D">
      <w:pPr>
        <w:rPr>
          <w:rFonts w:cs="Arial"/>
        </w:rPr>
      </w:pPr>
    </w:p>
    <w:p w14:paraId="1719F93B" w14:textId="77777777" w:rsidR="00A274FD" w:rsidRDefault="00A274FD" w:rsidP="00B8202D">
      <w:pPr>
        <w:rPr>
          <w:rFonts w:cs="Arial"/>
        </w:rPr>
      </w:pPr>
    </w:p>
    <w:p w14:paraId="2BFE3D48" w14:textId="508DF44E" w:rsidR="00B8202D" w:rsidRDefault="00B8202D" w:rsidP="00B8202D">
      <w:pPr>
        <w:spacing w:after="240"/>
        <w:ind w:firstLine="426"/>
        <w:rPr>
          <w:rFonts w:cs="Arial"/>
          <w:i/>
        </w:rPr>
      </w:pPr>
      <w:r w:rsidRPr="00B8202D">
        <w:rPr>
          <w:rFonts w:cs="Arial"/>
          <w:i/>
        </w:rPr>
        <w:lastRenderedPageBreak/>
        <w:t xml:space="preserve">Roles and responsibilities of personnel </w:t>
      </w:r>
    </w:p>
    <w:p w14:paraId="70E23451" w14:textId="77777777" w:rsidR="00A274FD" w:rsidRPr="00B8202D" w:rsidRDefault="00A274FD" w:rsidP="00B8202D">
      <w:pPr>
        <w:spacing w:after="240"/>
        <w:ind w:firstLine="426"/>
        <w:rPr>
          <w:rFonts w:cs="Arial"/>
          <w:i/>
        </w:rPr>
      </w:pPr>
    </w:p>
    <w:tbl>
      <w:tblPr>
        <w:tblStyle w:val="GSBoldTable"/>
        <w:tblW w:w="0" w:type="auto"/>
        <w:tblLook w:val="04A0" w:firstRow="1" w:lastRow="0" w:firstColumn="1" w:lastColumn="0" w:noHBand="0" w:noVBand="1"/>
      </w:tblPr>
      <w:tblGrid>
        <w:gridCol w:w="2126"/>
        <w:gridCol w:w="7119"/>
      </w:tblGrid>
      <w:tr w:rsidR="00B8202D" w:rsidRPr="00B8202D" w14:paraId="4A9EBAE2" w14:textId="77777777" w:rsidTr="009B2831">
        <w:trPr>
          <w:cnfStyle w:val="100000000000" w:firstRow="1" w:lastRow="0" w:firstColumn="0" w:lastColumn="0" w:oddVBand="0" w:evenVBand="0" w:oddHBand="0" w:evenHBand="0" w:firstRowFirstColumn="0" w:firstRowLastColumn="0" w:lastRowFirstColumn="0" w:lastRowLastColumn="0"/>
        </w:trPr>
        <w:tc>
          <w:tcPr>
            <w:tcW w:w="2126" w:type="dxa"/>
          </w:tcPr>
          <w:p w14:paraId="5381ACED" w14:textId="77777777" w:rsidR="00B8202D" w:rsidRPr="00D265E2" w:rsidRDefault="00B8202D" w:rsidP="00B8202D">
            <w:pPr>
              <w:rPr>
                <w:rFonts w:cs="Arial"/>
                <w:b/>
                <w:color w:val="FFFFFF" w:themeColor="background1"/>
              </w:rPr>
            </w:pPr>
            <w:r w:rsidRPr="00D265E2">
              <w:rPr>
                <w:rFonts w:cs="Arial"/>
                <w:b/>
                <w:color w:val="FFFFFF" w:themeColor="background1"/>
              </w:rPr>
              <w:t>Person</w:t>
            </w:r>
          </w:p>
        </w:tc>
        <w:tc>
          <w:tcPr>
            <w:tcW w:w="7119" w:type="dxa"/>
          </w:tcPr>
          <w:p w14:paraId="30D3DBA9" w14:textId="77777777" w:rsidR="00B8202D" w:rsidRPr="00D265E2" w:rsidRDefault="00B8202D" w:rsidP="00B8202D">
            <w:pPr>
              <w:rPr>
                <w:rFonts w:cs="Arial"/>
                <w:b/>
                <w:color w:val="FFFFFF" w:themeColor="background1"/>
              </w:rPr>
            </w:pPr>
            <w:r w:rsidRPr="00D265E2">
              <w:rPr>
                <w:rFonts w:cs="Arial"/>
                <w:b/>
                <w:color w:val="FFFFFF" w:themeColor="background1"/>
              </w:rPr>
              <w:t>Role</w:t>
            </w:r>
          </w:p>
        </w:tc>
      </w:tr>
      <w:tr w:rsidR="00B8202D" w:rsidRPr="00B8202D" w14:paraId="086C2520" w14:textId="77777777" w:rsidTr="009B2831">
        <w:tc>
          <w:tcPr>
            <w:tcW w:w="2126" w:type="dxa"/>
          </w:tcPr>
          <w:p w14:paraId="46745DCC" w14:textId="77777777" w:rsidR="00B8202D" w:rsidRPr="00B8202D" w:rsidRDefault="00B8202D" w:rsidP="00B8202D">
            <w:pPr>
              <w:rPr>
                <w:rFonts w:cs="Arial"/>
              </w:rPr>
            </w:pPr>
            <w:r w:rsidRPr="00B8202D">
              <w:rPr>
                <w:rFonts w:cs="Arial"/>
              </w:rPr>
              <w:t>Monitoring head</w:t>
            </w:r>
          </w:p>
        </w:tc>
        <w:tc>
          <w:tcPr>
            <w:tcW w:w="7119" w:type="dxa"/>
          </w:tcPr>
          <w:p w14:paraId="793F31F3" w14:textId="77777777" w:rsidR="00B8202D" w:rsidRPr="00B8202D" w:rsidRDefault="00B8202D" w:rsidP="00B8202D">
            <w:pPr>
              <w:rPr>
                <w:rFonts w:cs="Arial"/>
              </w:rPr>
            </w:pPr>
            <w:r w:rsidRPr="00B8202D">
              <w:rPr>
                <w:rFonts w:cs="Arial"/>
              </w:rPr>
              <w:t>The monitoring head will be responsible for administering the electronic storage, and data review</w:t>
            </w:r>
          </w:p>
        </w:tc>
      </w:tr>
      <w:tr w:rsidR="00B8202D" w:rsidRPr="00B8202D" w14:paraId="3E877B1B" w14:textId="77777777" w:rsidTr="009B2831">
        <w:tc>
          <w:tcPr>
            <w:tcW w:w="2126" w:type="dxa"/>
          </w:tcPr>
          <w:p w14:paraId="37D8FB31" w14:textId="77777777" w:rsidR="00B8202D" w:rsidRPr="00B8202D" w:rsidRDefault="00B8202D" w:rsidP="00B8202D">
            <w:pPr>
              <w:rPr>
                <w:rFonts w:cs="Arial"/>
              </w:rPr>
            </w:pPr>
            <w:r w:rsidRPr="00B8202D">
              <w:rPr>
                <w:rFonts w:cs="Arial"/>
              </w:rPr>
              <w:t>Monitoring team</w:t>
            </w:r>
          </w:p>
        </w:tc>
        <w:tc>
          <w:tcPr>
            <w:tcW w:w="7119" w:type="dxa"/>
          </w:tcPr>
          <w:p w14:paraId="1A2953FB" w14:textId="77777777" w:rsidR="00B8202D" w:rsidRPr="00B8202D" w:rsidRDefault="00B8202D" w:rsidP="00B8202D">
            <w:pPr>
              <w:rPr>
                <w:rFonts w:cs="Arial"/>
              </w:rPr>
            </w:pPr>
            <w:r w:rsidRPr="00B8202D">
              <w:rPr>
                <w:rFonts w:cs="Arial"/>
              </w:rPr>
              <w:t xml:space="preserve">The monitoring team will conduct the surveys. </w:t>
            </w:r>
          </w:p>
        </w:tc>
      </w:tr>
    </w:tbl>
    <w:p w14:paraId="6E8A9A1D" w14:textId="77777777" w:rsidR="00B8202D" w:rsidRPr="00B8202D" w:rsidRDefault="00B8202D" w:rsidP="00B8202D">
      <w:pPr>
        <w:rPr>
          <w:rFonts w:cs="Arial"/>
          <w:i/>
        </w:rPr>
      </w:pPr>
    </w:p>
    <w:p w14:paraId="56474C89" w14:textId="4C61714E" w:rsidR="00B8202D" w:rsidRDefault="00B8202D" w:rsidP="00B8202D">
      <w:pPr>
        <w:ind w:firstLine="426"/>
        <w:rPr>
          <w:rFonts w:cs="Arial"/>
          <w:i/>
        </w:rPr>
      </w:pPr>
      <w:r w:rsidRPr="00B8202D">
        <w:rPr>
          <w:rFonts w:cs="Arial"/>
          <w:i/>
        </w:rPr>
        <w:t>Emergency procedures for the monitoring system</w:t>
      </w:r>
    </w:p>
    <w:p w14:paraId="51449407" w14:textId="77777777" w:rsidR="00A274FD" w:rsidRPr="00B8202D" w:rsidRDefault="00A274FD" w:rsidP="00B8202D">
      <w:pPr>
        <w:ind w:firstLine="426"/>
        <w:rPr>
          <w:rFonts w:cs="Arial"/>
          <w:i/>
        </w:rPr>
      </w:pPr>
    </w:p>
    <w:p w14:paraId="0850034F" w14:textId="77777777" w:rsidR="00B8202D" w:rsidRPr="00B8202D" w:rsidRDefault="00B8202D" w:rsidP="00A274FD">
      <w:pPr>
        <w:rPr>
          <w:lang w:val="en-GB"/>
        </w:rPr>
      </w:pPr>
      <w:r w:rsidRPr="00B8202D">
        <w:rPr>
          <w:lang w:val="en-GB"/>
        </w:rPr>
        <w:t xml:space="preserve">atmosfair has implemented a system of cross-checks to ensure data quality. There is a separation of roles for every step of the data generation, aggregation &amp; recording, calculation and reporting between those who are responsible and those who are controlling the respective step. In particular, the database manager of atmosfair checks correctness and consistency between information on the sales receipts and the corresponding sales database record. In case inconsistencies are detected, the database manager instructs the representative of SES or the database manager to search for the error source. If the error source can be found, the information is corrected accordingly, if not, the database record is removed from the database. </w:t>
      </w:r>
    </w:p>
    <w:p w14:paraId="009B9185" w14:textId="77777777" w:rsidR="00B8202D" w:rsidRPr="00B8202D" w:rsidRDefault="00B8202D" w:rsidP="00B8202D">
      <w:pPr>
        <w:rPr>
          <w:rFonts w:cs="Arial"/>
          <w:szCs w:val="22"/>
        </w:rPr>
      </w:pPr>
    </w:p>
    <w:p w14:paraId="6B2A480C" w14:textId="77777777" w:rsidR="00B8202D" w:rsidRPr="00B8202D" w:rsidRDefault="00B8202D" w:rsidP="00A274FD">
      <w:pPr>
        <w:rPr>
          <w:rFonts w:cs="Arial"/>
        </w:rPr>
      </w:pPr>
      <w:r w:rsidRPr="00B8202D">
        <w:rPr>
          <w:rFonts w:cs="Arial"/>
          <w:szCs w:val="22"/>
        </w:rPr>
        <w:t>Furthermore, the database manager of atmosfair checks the correctness and consistency of all sampling data collected and processed in this Monitoring Period.</w:t>
      </w:r>
    </w:p>
    <w:p w14:paraId="40E27A73" w14:textId="77777777" w:rsidR="00B8202D" w:rsidRPr="00B8202D" w:rsidRDefault="00B8202D" w:rsidP="00B8202D">
      <w:pPr>
        <w:rPr>
          <w:rFonts w:cs="Arial"/>
        </w:rPr>
      </w:pPr>
    </w:p>
    <w:p w14:paraId="02507438" w14:textId="6B85A1A8" w:rsidR="00846B3B" w:rsidRDefault="00846B3B" w:rsidP="00465B23">
      <w:pPr>
        <w:pStyle w:val="Heading4"/>
        <w:rPr>
          <w:lang w:val="en-US"/>
        </w:rPr>
      </w:pPr>
    </w:p>
    <w:p w14:paraId="00978B38" w14:textId="21357447" w:rsidR="003F407B" w:rsidRDefault="003F407B" w:rsidP="003F407B"/>
    <w:p w14:paraId="1ABA986B" w14:textId="1A237812" w:rsidR="003F407B" w:rsidRDefault="003F407B" w:rsidP="003F407B"/>
    <w:p w14:paraId="5DC21CE2" w14:textId="0D295634" w:rsidR="003F407B" w:rsidRDefault="003F407B" w:rsidP="003F407B"/>
    <w:p w14:paraId="05DCCF07" w14:textId="0990B062" w:rsidR="003F407B" w:rsidRDefault="003F407B" w:rsidP="003F407B"/>
    <w:p w14:paraId="0ECB4C90" w14:textId="56E09D4C" w:rsidR="003F407B" w:rsidRDefault="003F407B" w:rsidP="003F407B"/>
    <w:p w14:paraId="01FF62A0" w14:textId="2106B336" w:rsidR="003F407B" w:rsidRDefault="003F407B" w:rsidP="003F407B"/>
    <w:p w14:paraId="1915DB03" w14:textId="47531AEB" w:rsidR="003F407B" w:rsidRDefault="003F407B" w:rsidP="003F407B"/>
    <w:p w14:paraId="5A3C7379" w14:textId="77777777" w:rsidR="003F407B" w:rsidRPr="003F407B" w:rsidRDefault="003F407B" w:rsidP="003F407B"/>
    <w:p w14:paraId="073A2AAF" w14:textId="526831EF" w:rsidR="00816579" w:rsidRPr="00241108" w:rsidRDefault="00465B23" w:rsidP="00465B23">
      <w:pPr>
        <w:pStyle w:val="Heading4"/>
      </w:pPr>
      <w:r>
        <w:lastRenderedPageBreak/>
        <w:t xml:space="preserve">SECTION D. </w:t>
      </w:r>
      <w:r w:rsidR="00816579" w:rsidRPr="00241108">
        <w:t>DATA AND PARAMETERS</w:t>
      </w:r>
      <w:bookmarkEnd w:id="24"/>
      <w:bookmarkEnd w:id="25"/>
      <w:bookmarkEnd w:id="26"/>
    </w:p>
    <w:p w14:paraId="5D842BC0" w14:textId="14B608A2" w:rsidR="00816579" w:rsidRDefault="00465B23" w:rsidP="00465B23">
      <w:pPr>
        <w:pStyle w:val="Heading5"/>
      </w:pPr>
      <w:bookmarkStart w:id="27" w:name="_Ref418094907"/>
      <w:bookmarkStart w:id="28" w:name="_Toc40962748"/>
      <w:r>
        <w:t xml:space="preserve">D.1. </w:t>
      </w:r>
      <w:r w:rsidR="00816579" w:rsidRPr="00241108">
        <w:t>Data and parameters fixed ex ante or at renewal of crediting period</w:t>
      </w:r>
      <w:bookmarkEnd w:id="27"/>
      <w:bookmarkEnd w:id="28"/>
    </w:p>
    <w:p w14:paraId="6E21C8DC" w14:textId="07C71DFD" w:rsidR="003F407B" w:rsidRPr="00575488" w:rsidRDefault="003F407B" w:rsidP="003F407B">
      <w:pPr>
        <w:pStyle w:val="Caption"/>
        <w:spacing w:before="120" w:after="60"/>
        <w:rPr>
          <w:b/>
          <w:bCs/>
          <w:i/>
          <w:iCs w:val="0"/>
        </w:rPr>
      </w:pPr>
    </w:p>
    <w:tbl>
      <w:tblPr>
        <w:tblStyle w:val="GSBoldTable"/>
        <w:tblW w:w="9753" w:type="dxa"/>
        <w:tblLayout w:type="fixed"/>
        <w:tblLook w:val="01E0" w:firstRow="1" w:lastRow="1" w:firstColumn="1" w:lastColumn="1" w:noHBand="0" w:noVBand="0"/>
      </w:tblPr>
      <w:tblGrid>
        <w:gridCol w:w="2743"/>
        <w:gridCol w:w="7010"/>
      </w:tblGrid>
      <w:tr w:rsidR="003F407B" w:rsidRPr="00575488" w14:paraId="30EEDF93" w14:textId="77777777" w:rsidTr="00D33FF4">
        <w:trPr>
          <w:cnfStyle w:val="100000000000" w:firstRow="1" w:lastRow="0" w:firstColumn="0" w:lastColumn="0" w:oddVBand="0" w:evenVBand="0" w:oddHBand="0" w:evenHBand="0" w:firstRowFirstColumn="0" w:firstRowLastColumn="0" w:lastRowFirstColumn="0" w:lastRowLastColumn="0"/>
        </w:trPr>
        <w:tc>
          <w:tcPr>
            <w:tcW w:w="2743" w:type="dxa"/>
          </w:tcPr>
          <w:p w14:paraId="212380CE" w14:textId="0AE5B0A5" w:rsidR="003F407B" w:rsidRPr="00824BF8" w:rsidRDefault="00D33FF4" w:rsidP="009B2831">
            <w:pPr>
              <w:pStyle w:val="SDMTableBoxParaNotNumbered"/>
              <w:keepNext/>
              <w:keepLines/>
              <w:rPr>
                <w:rFonts w:asciiTheme="minorHAnsi" w:hAnsiTheme="minorHAnsi"/>
                <w:b/>
                <w:color w:val="FFFFFF" w:themeColor="background1"/>
              </w:rPr>
            </w:pPr>
            <w:r w:rsidRPr="00D33FF4">
              <w:rPr>
                <w:rFonts w:asciiTheme="minorHAnsi" w:hAnsiTheme="minorHAnsi"/>
                <w:b/>
                <w:color w:val="FFFFFF" w:themeColor="background1"/>
              </w:rPr>
              <w:t>Relevant SDG Indicator</w:t>
            </w:r>
          </w:p>
        </w:tc>
        <w:tc>
          <w:tcPr>
            <w:tcW w:w="7010" w:type="dxa"/>
          </w:tcPr>
          <w:p w14:paraId="6A11336E" w14:textId="4B2D23AD" w:rsidR="003F407B" w:rsidRPr="00824BF8" w:rsidRDefault="00D33FF4" w:rsidP="009B2831">
            <w:pPr>
              <w:pStyle w:val="SDMTableBoxParaNotNumbered"/>
              <w:keepNext/>
              <w:keepLines/>
              <w:rPr>
                <w:rFonts w:asciiTheme="minorHAnsi" w:hAnsiTheme="minorHAnsi"/>
                <w:b/>
                <w:color w:val="FFFFFF" w:themeColor="background1"/>
              </w:rPr>
            </w:pPr>
            <w:r w:rsidRPr="00D33FF4">
              <w:rPr>
                <w:rFonts w:asciiTheme="minorHAnsi" w:hAnsiTheme="minorHAnsi"/>
                <w:b/>
                <w:color w:val="FFFFFF" w:themeColor="background1"/>
              </w:rPr>
              <w:t>SDG 13, Target 13.2, Indicator 13.2.1</w:t>
            </w:r>
          </w:p>
        </w:tc>
      </w:tr>
      <w:tr w:rsidR="003F407B" w:rsidRPr="00575488" w14:paraId="7A564B1A" w14:textId="77777777" w:rsidTr="00D33FF4">
        <w:tc>
          <w:tcPr>
            <w:tcW w:w="2743" w:type="dxa"/>
          </w:tcPr>
          <w:p w14:paraId="5703D15C" w14:textId="1DBE6E1B" w:rsidR="003F407B" w:rsidRPr="00824BF8" w:rsidRDefault="00D33FF4" w:rsidP="009B2831">
            <w:pPr>
              <w:pStyle w:val="SDMTableBoxParaNotNumbered"/>
              <w:rPr>
                <w:rFonts w:asciiTheme="minorHAnsi" w:hAnsiTheme="minorHAnsi"/>
                <w:color w:val="515151" w:themeColor="text1"/>
              </w:rPr>
            </w:pPr>
            <w:r w:rsidRPr="00D33FF4">
              <w:rPr>
                <w:rFonts w:asciiTheme="minorHAnsi" w:hAnsiTheme="minorHAnsi"/>
                <w:color w:val="515151" w:themeColor="text1"/>
              </w:rPr>
              <w:t>Data/parameter</w:t>
            </w:r>
            <w:r w:rsidRPr="00D33FF4" w:rsidDel="00D33FF4">
              <w:rPr>
                <w:rFonts w:asciiTheme="minorHAnsi" w:hAnsiTheme="minorHAnsi"/>
                <w:color w:val="515151" w:themeColor="text1"/>
              </w:rPr>
              <w:t xml:space="preserve"> </w:t>
            </w:r>
          </w:p>
        </w:tc>
        <w:tc>
          <w:tcPr>
            <w:tcW w:w="7010" w:type="dxa"/>
          </w:tcPr>
          <w:p w14:paraId="488390C9" w14:textId="2D92B583" w:rsidR="003F407B" w:rsidRPr="00824BF8" w:rsidRDefault="00D33FF4" w:rsidP="009B2831">
            <w:pPr>
              <w:pStyle w:val="Default"/>
              <w:rPr>
                <w:rFonts w:asciiTheme="minorHAnsi" w:hAnsiTheme="minorHAnsi"/>
                <w:color w:val="515151" w:themeColor="text1"/>
                <w:szCs w:val="20"/>
              </w:rPr>
            </w:pPr>
            <w:r w:rsidRPr="00D33FF4">
              <w:rPr>
                <w:rFonts w:asciiTheme="minorHAnsi" w:hAnsiTheme="minorHAnsi"/>
                <w:color w:val="515151" w:themeColor="text1"/>
                <w:szCs w:val="20"/>
              </w:rPr>
              <w:t>Quantity of fuelwood and wo</w:t>
            </w:r>
            <w:r>
              <w:rPr>
                <w:rFonts w:asciiTheme="minorHAnsi" w:hAnsiTheme="minorHAnsi"/>
                <w:color w:val="515151" w:themeColor="text1"/>
                <w:szCs w:val="20"/>
              </w:rPr>
              <w:t>odfuel consumption displaced (</w:t>
            </w:r>
            <m:oMath>
              <m:sSub>
                <m:sSubPr>
                  <m:ctrlPr>
                    <w:rPr>
                      <w:rFonts w:ascii="Cambria Math" w:hAnsi="Cambria Math"/>
                      <w:i/>
                      <w:color w:val="515151" w:themeColor="text1"/>
                      <w:szCs w:val="20"/>
                    </w:rPr>
                  </m:ctrlPr>
                </m:sSubPr>
                <m:e>
                  <m:r>
                    <w:rPr>
                      <w:rFonts w:ascii="Cambria Math" w:hAnsi="Cambria Math"/>
                      <w:color w:val="515151" w:themeColor="text1"/>
                      <w:szCs w:val="20"/>
                    </w:rPr>
                    <m:t>B</m:t>
                  </m:r>
                </m:e>
                <m:sub>
                  <m:r>
                    <w:rPr>
                      <w:rFonts w:ascii="Cambria Math" w:hAnsi="Cambria Math"/>
                      <w:color w:val="515151" w:themeColor="text1"/>
                      <w:szCs w:val="20"/>
                    </w:rPr>
                    <m:t>y</m:t>
                  </m:r>
                </m:sub>
              </m:sSub>
            </m:oMath>
            <w:r w:rsidRPr="00D33FF4">
              <w:rPr>
                <w:rFonts w:asciiTheme="minorHAnsi" w:hAnsiTheme="minorHAnsi"/>
                <w:color w:val="515151" w:themeColor="text1"/>
                <w:szCs w:val="20"/>
              </w:rPr>
              <w:t>, net per unit)</w:t>
            </w:r>
            <w:r w:rsidRPr="00D33FF4" w:rsidDel="00D33FF4">
              <w:rPr>
                <w:rFonts w:asciiTheme="minorHAnsi" w:hAnsiTheme="minorHAnsi"/>
                <w:color w:val="515151" w:themeColor="text1"/>
                <w:szCs w:val="20"/>
              </w:rPr>
              <w:t xml:space="preserve"> </w:t>
            </w:r>
          </w:p>
        </w:tc>
      </w:tr>
      <w:tr w:rsidR="00D33FF4" w:rsidRPr="00575488" w14:paraId="15F14614" w14:textId="77777777" w:rsidTr="00D33FF4">
        <w:tc>
          <w:tcPr>
            <w:tcW w:w="2743" w:type="dxa"/>
          </w:tcPr>
          <w:p w14:paraId="78514601" w14:textId="1CCB8F74" w:rsidR="00D33FF4" w:rsidRPr="00824BF8" w:rsidRDefault="00D33FF4" w:rsidP="00D33FF4">
            <w:pPr>
              <w:pStyle w:val="SDMTableBoxParaNotNumbered"/>
              <w:rPr>
                <w:rFonts w:asciiTheme="minorHAnsi" w:hAnsiTheme="minorHAnsi"/>
                <w:color w:val="515151" w:themeColor="text1"/>
              </w:rPr>
            </w:pPr>
            <w:r w:rsidRPr="00824BF8">
              <w:rPr>
                <w:rFonts w:asciiTheme="minorHAnsi" w:hAnsiTheme="minorHAnsi"/>
                <w:color w:val="515151" w:themeColor="text1"/>
              </w:rPr>
              <w:t>Unit</w:t>
            </w:r>
          </w:p>
        </w:tc>
        <w:tc>
          <w:tcPr>
            <w:tcW w:w="7010" w:type="dxa"/>
          </w:tcPr>
          <w:p w14:paraId="60F79A8F" w14:textId="4878F7E4" w:rsidR="00D33FF4" w:rsidRPr="00824BF8" w:rsidRDefault="00D33FF4" w:rsidP="00D33FF4">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tons/year/household </w:t>
            </w:r>
          </w:p>
        </w:tc>
      </w:tr>
      <w:tr w:rsidR="00D33FF4" w:rsidRPr="00575488" w14:paraId="630DEDFA" w14:textId="77777777" w:rsidTr="00D33FF4">
        <w:tc>
          <w:tcPr>
            <w:tcW w:w="2743" w:type="dxa"/>
          </w:tcPr>
          <w:p w14:paraId="5B8C2DB6" w14:textId="77777777" w:rsidR="00D33FF4" w:rsidRPr="00824BF8" w:rsidRDefault="00D33FF4" w:rsidP="00D33FF4">
            <w:pPr>
              <w:pStyle w:val="SDMTableBoxParaNotNumbered"/>
              <w:rPr>
                <w:rFonts w:asciiTheme="minorHAnsi" w:hAnsiTheme="minorHAnsi"/>
                <w:color w:val="515151" w:themeColor="text1"/>
              </w:rPr>
            </w:pPr>
            <w:r w:rsidRPr="00824BF8">
              <w:rPr>
                <w:rFonts w:asciiTheme="minorHAnsi" w:hAnsiTheme="minorHAnsi"/>
                <w:color w:val="515151" w:themeColor="text1"/>
              </w:rPr>
              <w:t>Description</w:t>
            </w:r>
          </w:p>
        </w:tc>
        <w:tc>
          <w:tcPr>
            <w:tcW w:w="7010" w:type="dxa"/>
          </w:tcPr>
          <w:p w14:paraId="2BC29654" w14:textId="704A22CD" w:rsidR="00D33FF4" w:rsidRPr="00824BF8" w:rsidRDefault="00D33FF4" w:rsidP="00D33FF4">
            <w:pPr>
              <w:pStyle w:val="Default"/>
              <w:rPr>
                <w:rFonts w:asciiTheme="minorHAnsi" w:hAnsiTheme="minorHAnsi"/>
                <w:color w:val="515151" w:themeColor="text1"/>
                <w:szCs w:val="20"/>
              </w:rPr>
            </w:pPr>
            <w:r w:rsidRPr="00D33FF4">
              <w:rPr>
                <w:rFonts w:asciiTheme="minorHAnsi" w:hAnsiTheme="minorHAnsi"/>
                <w:color w:val="515151" w:themeColor="text1"/>
                <w:szCs w:val="20"/>
              </w:rPr>
              <w:t>Quantity of fuelwood and woodfuel consumption for charcoal that is substituted or displaced in tonnes</w:t>
            </w:r>
          </w:p>
        </w:tc>
      </w:tr>
      <w:tr w:rsidR="00D33FF4" w:rsidRPr="00575488" w14:paraId="502D6A5D" w14:textId="77777777" w:rsidTr="00D33FF4">
        <w:tc>
          <w:tcPr>
            <w:tcW w:w="2743" w:type="dxa"/>
          </w:tcPr>
          <w:p w14:paraId="286F8B61" w14:textId="77777777" w:rsidR="00D33FF4" w:rsidRPr="00824BF8" w:rsidRDefault="00D33FF4" w:rsidP="00D33FF4">
            <w:pPr>
              <w:pStyle w:val="SDMTableBoxParaNotNumbered"/>
              <w:rPr>
                <w:rFonts w:asciiTheme="minorHAnsi" w:hAnsiTheme="minorHAnsi"/>
                <w:color w:val="515151" w:themeColor="text1"/>
              </w:rPr>
            </w:pPr>
            <w:r w:rsidRPr="00824BF8">
              <w:rPr>
                <w:rFonts w:asciiTheme="minorHAnsi" w:hAnsiTheme="minorHAnsi"/>
                <w:color w:val="515151" w:themeColor="text1"/>
              </w:rPr>
              <w:t>Source of data</w:t>
            </w:r>
          </w:p>
        </w:tc>
        <w:tc>
          <w:tcPr>
            <w:tcW w:w="7010" w:type="dxa"/>
          </w:tcPr>
          <w:p w14:paraId="5A42CFDE" w14:textId="77777777" w:rsidR="00D33FF4" w:rsidRPr="00824BF8" w:rsidRDefault="00D33FF4" w:rsidP="00D33FF4">
            <w:pPr>
              <w:pStyle w:val="Default"/>
              <w:rPr>
                <w:rFonts w:asciiTheme="minorHAnsi" w:hAnsiTheme="minorHAnsi"/>
                <w:color w:val="515151" w:themeColor="text1"/>
                <w:szCs w:val="20"/>
              </w:rPr>
            </w:pPr>
            <w:r w:rsidRPr="00824BF8">
              <w:rPr>
                <w:rFonts w:asciiTheme="minorHAnsi" w:hAnsiTheme="minorHAnsi"/>
                <w:color w:val="515151" w:themeColor="text1"/>
                <w:szCs w:val="20"/>
              </w:rPr>
              <w:t>Kenyan Ministry of Energy &amp; Petroleum: Study On Kenya’s Energy Demand, Supply And Policy Strategy For Households, Small Scale Industries And Service Establishments (Final Report, 2002, prepared by Kamfor Ltd.).</w:t>
            </w:r>
          </w:p>
        </w:tc>
      </w:tr>
      <w:tr w:rsidR="00D33FF4" w:rsidRPr="00575488" w14:paraId="1BB87E70" w14:textId="77777777" w:rsidTr="00D33FF4">
        <w:tc>
          <w:tcPr>
            <w:tcW w:w="2743" w:type="dxa"/>
          </w:tcPr>
          <w:p w14:paraId="79564F25" w14:textId="77777777" w:rsidR="00D33FF4" w:rsidRPr="00824BF8" w:rsidRDefault="00D33FF4" w:rsidP="00D33FF4">
            <w:pPr>
              <w:pStyle w:val="SDMTableBoxParaNotNumbered"/>
              <w:rPr>
                <w:rFonts w:asciiTheme="minorHAnsi" w:hAnsiTheme="minorHAnsi"/>
                <w:color w:val="515151" w:themeColor="text1"/>
              </w:rPr>
            </w:pPr>
            <w:r w:rsidRPr="00824BF8">
              <w:rPr>
                <w:rFonts w:asciiTheme="minorHAnsi" w:hAnsiTheme="minorHAnsi"/>
                <w:color w:val="515151" w:themeColor="text1"/>
              </w:rPr>
              <w:t>Value(s) applied</w:t>
            </w:r>
          </w:p>
        </w:tc>
        <w:tc>
          <w:tcPr>
            <w:tcW w:w="7010" w:type="dxa"/>
          </w:tcPr>
          <w:p w14:paraId="7F2724B7" w14:textId="77777777" w:rsidR="00D33FF4" w:rsidRPr="00824BF8" w:rsidRDefault="00D33FF4" w:rsidP="00D33FF4">
            <w:pPr>
              <w:pStyle w:val="SDMTableBoxParaNotNumbered"/>
              <w:rPr>
                <w:rFonts w:asciiTheme="minorHAnsi" w:hAnsiTheme="minorHAnsi" w:cs="Arial"/>
                <w:color w:val="515151" w:themeColor="text1"/>
              </w:rPr>
            </w:pPr>
            <w:r w:rsidRPr="00824BF8">
              <w:rPr>
                <w:rFonts w:asciiTheme="minorHAnsi" w:hAnsiTheme="minorHAnsi" w:cs="Arial"/>
                <w:color w:val="515151" w:themeColor="text1"/>
              </w:rPr>
              <w:t xml:space="preserve"> 4.257</w:t>
            </w:r>
          </w:p>
        </w:tc>
      </w:tr>
      <w:tr w:rsidR="00D33FF4" w:rsidRPr="00575488" w14:paraId="7448879B" w14:textId="77777777" w:rsidTr="00A55140">
        <w:trPr>
          <w:trHeight w:val="2057"/>
        </w:trPr>
        <w:tc>
          <w:tcPr>
            <w:tcW w:w="2743" w:type="dxa"/>
          </w:tcPr>
          <w:p w14:paraId="0FD74F34" w14:textId="77777777" w:rsidR="00D33FF4" w:rsidRPr="00824BF8" w:rsidRDefault="00D33FF4" w:rsidP="00D33FF4">
            <w:pPr>
              <w:pStyle w:val="SDMTableBoxParaNotNumbered"/>
              <w:rPr>
                <w:rFonts w:asciiTheme="minorHAnsi" w:hAnsiTheme="minorHAnsi"/>
                <w:color w:val="515151" w:themeColor="text1"/>
              </w:rPr>
            </w:pPr>
            <w:r w:rsidRPr="00824BF8">
              <w:rPr>
                <w:rFonts w:asciiTheme="minorHAnsi" w:hAnsiTheme="minorHAnsi"/>
                <w:color w:val="515151" w:themeColor="text1"/>
              </w:rPr>
              <w:t xml:space="preserve">Choice of data </w:t>
            </w:r>
          </w:p>
          <w:p w14:paraId="5206406D" w14:textId="77777777" w:rsidR="00D33FF4" w:rsidRPr="00824BF8" w:rsidRDefault="00D33FF4" w:rsidP="00D33FF4">
            <w:pPr>
              <w:pStyle w:val="SDMTableBoxParaNotNumbered"/>
              <w:rPr>
                <w:rFonts w:asciiTheme="minorHAnsi" w:hAnsiTheme="minorHAnsi"/>
                <w:color w:val="515151" w:themeColor="text1"/>
              </w:rPr>
            </w:pPr>
            <w:r w:rsidRPr="00824BF8">
              <w:rPr>
                <w:rFonts w:asciiTheme="minorHAnsi" w:hAnsiTheme="minorHAnsi"/>
                <w:color w:val="515151" w:themeColor="text1"/>
              </w:rPr>
              <w:t>or measurement methods and procedures</w:t>
            </w:r>
          </w:p>
        </w:tc>
        <w:tc>
          <w:tcPr>
            <w:tcW w:w="7010" w:type="dxa"/>
          </w:tcPr>
          <w:p w14:paraId="54E27AD3" w14:textId="77777777" w:rsidR="00D33FF4" w:rsidRPr="00824BF8" w:rsidRDefault="00D33FF4" w:rsidP="00D33FF4">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Quantity of fuelwood and charcoal was determined using official, historical data and cross-checked with results from a baseline survey carried out by atmosfair and SES and reviewed by an independent third party. </w:t>
            </w:r>
          </w:p>
          <w:p w14:paraId="0F8ED9B5" w14:textId="77777777" w:rsidR="00D33FF4" w:rsidRPr="00824BF8" w:rsidRDefault="00D33FF4" w:rsidP="00D33FF4">
            <w:pPr>
              <w:pStyle w:val="Default"/>
              <w:rPr>
                <w:rFonts w:asciiTheme="minorHAnsi" w:hAnsiTheme="minorHAnsi"/>
                <w:color w:val="515151" w:themeColor="text1"/>
                <w:szCs w:val="20"/>
              </w:rPr>
            </w:pPr>
            <w:r w:rsidRPr="00824BF8">
              <w:rPr>
                <w:rFonts w:asciiTheme="minorHAnsi" w:hAnsiTheme="minorHAnsi"/>
                <w:color w:val="515151" w:themeColor="text1"/>
                <w:szCs w:val="20"/>
              </w:rPr>
              <w:t>B</w:t>
            </w:r>
            <w:r w:rsidRPr="00824BF8">
              <w:rPr>
                <w:rFonts w:asciiTheme="minorHAnsi" w:hAnsiTheme="minorHAnsi"/>
                <w:color w:val="515151" w:themeColor="text1"/>
                <w:szCs w:val="20"/>
                <w:vertAlign w:val="subscript"/>
              </w:rPr>
              <w:t>y</w:t>
            </w:r>
            <w:r w:rsidRPr="00824BF8">
              <w:rPr>
                <w:rFonts w:asciiTheme="minorHAnsi" w:hAnsiTheme="minorHAnsi"/>
                <w:color w:val="515151" w:themeColor="text1"/>
                <w:szCs w:val="20"/>
              </w:rPr>
              <w:t xml:space="preserve"> (gross per unit) is multiplied with a net to gross adjustment factor LE</w:t>
            </w:r>
            <w:r w:rsidRPr="00824BF8">
              <w:rPr>
                <w:rFonts w:asciiTheme="minorHAnsi" w:hAnsiTheme="minorHAnsi"/>
                <w:color w:val="515151" w:themeColor="text1"/>
                <w:szCs w:val="20"/>
                <w:vertAlign w:val="subscript"/>
              </w:rPr>
              <w:t>NRB</w:t>
            </w:r>
            <w:r w:rsidRPr="00824BF8">
              <w:rPr>
                <w:rFonts w:asciiTheme="minorHAnsi" w:hAnsiTheme="minorHAnsi"/>
                <w:color w:val="515151" w:themeColor="text1"/>
                <w:szCs w:val="20"/>
              </w:rPr>
              <w:t xml:space="preserve"> of 0.95 to account for leakages as per AMS I.E., v.4: </w:t>
            </w:r>
          </w:p>
          <w:p w14:paraId="76429B30" w14:textId="77777777" w:rsidR="00D33FF4" w:rsidRPr="00824BF8" w:rsidRDefault="00D33FF4" w:rsidP="00D33FF4">
            <w:pPr>
              <w:pStyle w:val="SDMTableBoxParaNotNumbered"/>
              <w:rPr>
                <w:rFonts w:asciiTheme="minorHAnsi" w:hAnsiTheme="minorHAnsi"/>
                <w:color w:val="515151" w:themeColor="text1"/>
              </w:rPr>
            </w:pPr>
            <w:r w:rsidRPr="00824BF8">
              <w:rPr>
                <w:rFonts w:asciiTheme="minorHAnsi" w:hAnsiTheme="minorHAnsi"/>
                <w:i/>
                <w:color w:val="515151" w:themeColor="text1"/>
              </w:rPr>
              <w:t>B</w:t>
            </w:r>
            <w:r w:rsidRPr="00824BF8">
              <w:rPr>
                <w:rFonts w:asciiTheme="minorHAnsi" w:hAnsiTheme="minorHAnsi"/>
                <w:i/>
                <w:color w:val="515151" w:themeColor="text1"/>
                <w:vertAlign w:val="subscript"/>
              </w:rPr>
              <w:t>y (net per unit)</w:t>
            </w:r>
            <w:r w:rsidRPr="00824BF8">
              <w:rPr>
                <w:rFonts w:asciiTheme="minorHAnsi" w:hAnsiTheme="minorHAnsi"/>
                <w:i/>
                <w:color w:val="515151" w:themeColor="text1"/>
              </w:rPr>
              <w:t xml:space="preserve"> = B</w:t>
            </w:r>
            <w:r w:rsidRPr="00824BF8">
              <w:rPr>
                <w:rFonts w:asciiTheme="minorHAnsi" w:hAnsiTheme="minorHAnsi"/>
                <w:i/>
                <w:color w:val="515151" w:themeColor="text1"/>
                <w:vertAlign w:val="subscript"/>
              </w:rPr>
              <w:t xml:space="preserve">y (gross per unit) </w:t>
            </w:r>
            <w:r w:rsidRPr="00824BF8">
              <w:rPr>
                <w:rFonts w:asciiTheme="minorHAnsi" w:hAnsiTheme="minorHAnsi"/>
                <w:i/>
                <w:color w:val="515151" w:themeColor="text1"/>
              </w:rPr>
              <w:t>●</w:t>
            </w:r>
            <w:r w:rsidRPr="00824BF8">
              <w:rPr>
                <w:rFonts w:asciiTheme="minorHAnsi" w:hAnsiTheme="minorHAnsi"/>
                <w:color w:val="515151" w:themeColor="text1"/>
              </w:rPr>
              <w:t>LE</w:t>
            </w:r>
            <w:r w:rsidRPr="00824BF8">
              <w:rPr>
                <w:rFonts w:asciiTheme="minorHAnsi" w:hAnsiTheme="minorHAnsi"/>
                <w:color w:val="515151" w:themeColor="text1"/>
                <w:vertAlign w:val="subscript"/>
              </w:rPr>
              <w:t>NRB</w:t>
            </w:r>
          </w:p>
        </w:tc>
      </w:tr>
      <w:tr w:rsidR="00D33FF4" w:rsidRPr="00575488" w14:paraId="29FFE188" w14:textId="77777777" w:rsidTr="00D33FF4">
        <w:tc>
          <w:tcPr>
            <w:tcW w:w="2743" w:type="dxa"/>
          </w:tcPr>
          <w:p w14:paraId="1D87393A" w14:textId="77777777" w:rsidR="00D33FF4" w:rsidRPr="00824BF8" w:rsidRDefault="00D33FF4" w:rsidP="00D33FF4">
            <w:pPr>
              <w:pStyle w:val="SDMTableBoxParaNotNumbered"/>
              <w:keepNext/>
              <w:rPr>
                <w:rFonts w:asciiTheme="minorHAnsi" w:hAnsiTheme="minorHAnsi"/>
                <w:color w:val="515151" w:themeColor="text1"/>
              </w:rPr>
            </w:pPr>
            <w:r w:rsidRPr="00824BF8">
              <w:rPr>
                <w:rFonts w:asciiTheme="minorHAnsi" w:hAnsiTheme="minorHAnsi"/>
                <w:color w:val="515151" w:themeColor="text1"/>
              </w:rPr>
              <w:t>Purpose of data/parameter</w:t>
            </w:r>
          </w:p>
        </w:tc>
        <w:tc>
          <w:tcPr>
            <w:tcW w:w="7010" w:type="dxa"/>
          </w:tcPr>
          <w:p w14:paraId="67AB198B" w14:textId="672605DC" w:rsidR="00D33FF4" w:rsidRPr="00824BF8" w:rsidRDefault="00D33FF4">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Calculation of </w:t>
            </w:r>
            <w:r>
              <w:rPr>
                <w:rFonts w:asciiTheme="minorHAnsi" w:hAnsiTheme="minorHAnsi"/>
                <w:color w:val="515151" w:themeColor="text1"/>
                <w:szCs w:val="20"/>
              </w:rPr>
              <w:t>emission reductions.</w:t>
            </w:r>
          </w:p>
        </w:tc>
      </w:tr>
      <w:tr w:rsidR="00D33FF4" w:rsidRPr="00575488" w14:paraId="31CB7DFF" w14:textId="77777777" w:rsidTr="00D33FF4">
        <w:tc>
          <w:tcPr>
            <w:tcW w:w="2743" w:type="dxa"/>
          </w:tcPr>
          <w:p w14:paraId="587BF7CB" w14:textId="77777777" w:rsidR="00D33FF4" w:rsidRPr="00824BF8" w:rsidRDefault="00D33FF4" w:rsidP="00D33FF4">
            <w:pPr>
              <w:pStyle w:val="SDMTableBoxParaNotNumbered"/>
              <w:rPr>
                <w:rFonts w:asciiTheme="minorHAnsi" w:hAnsiTheme="minorHAnsi"/>
                <w:color w:val="515151" w:themeColor="text1"/>
              </w:rPr>
            </w:pPr>
            <w:r w:rsidRPr="00824BF8">
              <w:rPr>
                <w:rFonts w:asciiTheme="minorHAnsi" w:hAnsiTheme="minorHAnsi"/>
                <w:color w:val="515151" w:themeColor="text1"/>
              </w:rPr>
              <w:t>Additional comments</w:t>
            </w:r>
          </w:p>
        </w:tc>
        <w:tc>
          <w:tcPr>
            <w:tcW w:w="7010" w:type="dxa"/>
          </w:tcPr>
          <w:p w14:paraId="26DE1B56" w14:textId="77777777" w:rsidR="00D33FF4" w:rsidRPr="00824BF8" w:rsidRDefault="00D33FF4" w:rsidP="00D33FF4">
            <w:pPr>
              <w:pStyle w:val="SDMTableBoxParaNotNumbered"/>
              <w:rPr>
                <w:rFonts w:asciiTheme="minorHAnsi" w:hAnsiTheme="minorHAnsi" w:cs="Arial"/>
                <w:color w:val="515151" w:themeColor="text1"/>
              </w:rPr>
            </w:pPr>
            <w:r w:rsidRPr="00824BF8">
              <w:rPr>
                <w:rFonts w:asciiTheme="minorHAnsi" w:hAnsiTheme="minorHAnsi" w:cs="Arial"/>
                <w:color w:val="515151" w:themeColor="text1"/>
              </w:rPr>
              <w:t>This is a fixed value throughout the crediting period.</w:t>
            </w:r>
          </w:p>
        </w:tc>
      </w:tr>
    </w:tbl>
    <w:p w14:paraId="66AD6B9D" w14:textId="77777777" w:rsidR="003F407B" w:rsidRPr="00D265E2" w:rsidRDefault="003F407B" w:rsidP="003F407B">
      <w:pPr>
        <w:pStyle w:val="SDMPDDPoASubSection1"/>
        <w:tabs>
          <w:tab w:val="clear" w:pos="1474"/>
          <w:tab w:val="left" w:pos="709"/>
        </w:tabs>
        <w:spacing w:before="0"/>
        <w:ind w:left="1729"/>
        <w:rPr>
          <w:color w:val="FFFFFF" w:themeColor="background1"/>
        </w:rPr>
      </w:pPr>
    </w:p>
    <w:tbl>
      <w:tblPr>
        <w:tblStyle w:val="GSBoldTable"/>
        <w:tblW w:w="9753" w:type="dxa"/>
        <w:tblLayout w:type="fixed"/>
        <w:tblLook w:val="01E0" w:firstRow="1" w:lastRow="1" w:firstColumn="1" w:lastColumn="1" w:noHBand="0" w:noVBand="0"/>
      </w:tblPr>
      <w:tblGrid>
        <w:gridCol w:w="2743"/>
        <w:gridCol w:w="7010"/>
      </w:tblGrid>
      <w:tr w:rsidR="00D265E2" w:rsidRPr="00D265E2" w14:paraId="53DFF578" w14:textId="77777777" w:rsidTr="00D75CAC">
        <w:trPr>
          <w:cnfStyle w:val="100000000000" w:firstRow="1" w:lastRow="0" w:firstColumn="0" w:lastColumn="0" w:oddVBand="0" w:evenVBand="0" w:oddHBand="0" w:evenHBand="0" w:firstRowFirstColumn="0" w:firstRowLastColumn="0" w:lastRowFirstColumn="0" w:lastRowLastColumn="0"/>
        </w:trPr>
        <w:tc>
          <w:tcPr>
            <w:tcW w:w="2743" w:type="dxa"/>
          </w:tcPr>
          <w:p w14:paraId="260646EB" w14:textId="38BBBEA3" w:rsidR="003F407B" w:rsidRPr="00824BF8" w:rsidRDefault="00D75CAC" w:rsidP="009B2831">
            <w:pPr>
              <w:pStyle w:val="SDMTableBoxParaNotNumbered"/>
              <w:keepNext/>
              <w:keepLines/>
              <w:rPr>
                <w:rFonts w:asciiTheme="minorHAnsi" w:hAnsiTheme="minorHAnsi"/>
                <w:b/>
                <w:color w:val="FFFFFF" w:themeColor="background1"/>
              </w:rPr>
            </w:pPr>
            <w:r w:rsidRPr="00D75CAC">
              <w:rPr>
                <w:rFonts w:asciiTheme="minorHAnsi" w:hAnsiTheme="minorHAnsi"/>
                <w:b/>
                <w:color w:val="FFFFFF" w:themeColor="background1"/>
              </w:rPr>
              <w:t>Relevant SDG Indicator</w:t>
            </w:r>
            <w:r w:rsidRPr="00D75CAC" w:rsidDel="00D75CAC">
              <w:rPr>
                <w:rFonts w:asciiTheme="minorHAnsi" w:hAnsiTheme="minorHAnsi"/>
                <w:b/>
                <w:color w:val="FFFFFF" w:themeColor="background1"/>
              </w:rPr>
              <w:t xml:space="preserve"> </w:t>
            </w:r>
          </w:p>
        </w:tc>
        <w:tc>
          <w:tcPr>
            <w:tcW w:w="7010" w:type="dxa"/>
          </w:tcPr>
          <w:p w14:paraId="59DB79E4" w14:textId="65202E4E" w:rsidR="003F407B" w:rsidRPr="00824BF8" w:rsidRDefault="00D75CAC" w:rsidP="009B2831">
            <w:pPr>
              <w:pStyle w:val="SDMTableBoxParaNotNumbered"/>
              <w:keepNext/>
              <w:keepLines/>
              <w:rPr>
                <w:rFonts w:asciiTheme="minorHAnsi" w:hAnsiTheme="minorHAnsi"/>
                <w:b/>
                <w:color w:val="FFFFFF" w:themeColor="background1"/>
              </w:rPr>
            </w:pPr>
            <w:r w:rsidRPr="00D75CAC">
              <w:rPr>
                <w:rFonts w:asciiTheme="minorHAnsi" w:hAnsiTheme="minorHAnsi"/>
                <w:b/>
                <w:color w:val="FFFFFF" w:themeColor="background1"/>
              </w:rPr>
              <w:t>SDG 13, Target 13.2, Indicator 13.2.1</w:t>
            </w:r>
          </w:p>
        </w:tc>
      </w:tr>
      <w:tr w:rsidR="003F407B" w:rsidRPr="00575488" w14:paraId="07DA2897" w14:textId="77777777" w:rsidTr="00D75CAC">
        <w:tc>
          <w:tcPr>
            <w:tcW w:w="2743" w:type="dxa"/>
          </w:tcPr>
          <w:p w14:paraId="51D8EE09" w14:textId="1E9D4CD7" w:rsidR="003F407B" w:rsidRPr="00824BF8" w:rsidRDefault="00D75CAC" w:rsidP="009B2831">
            <w:pPr>
              <w:pStyle w:val="SDMTableBoxParaNotNumbered"/>
              <w:rPr>
                <w:rFonts w:asciiTheme="minorHAnsi" w:hAnsiTheme="minorHAnsi"/>
                <w:color w:val="515151" w:themeColor="text1"/>
              </w:rPr>
            </w:pPr>
            <w:r w:rsidRPr="00D75CAC">
              <w:rPr>
                <w:rFonts w:asciiTheme="minorHAnsi" w:hAnsiTheme="minorHAnsi"/>
                <w:color w:val="515151" w:themeColor="text1"/>
              </w:rPr>
              <w:t>Data/Parameter</w:t>
            </w:r>
            <w:r w:rsidRPr="00D75CAC" w:rsidDel="00D75CAC">
              <w:rPr>
                <w:rFonts w:asciiTheme="minorHAnsi" w:hAnsiTheme="minorHAnsi"/>
                <w:color w:val="515151" w:themeColor="text1"/>
              </w:rPr>
              <w:t xml:space="preserve"> </w:t>
            </w:r>
          </w:p>
        </w:tc>
        <w:tc>
          <w:tcPr>
            <w:tcW w:w="7010" w:type="dxa"/>
          </w:tcPr>
          <w:p w14:paraId="0A30A943" w14:textId="06BC10BB" w:rsidR="003F407B" w:rsidRPr="00824BF8" w:rsidRDefault="00D75CAC">
            <w:pPr>
              <w:pStyle w:val="SDMTableBoxParaNotNumbered"/>
              <w:rPr>
                <w:rFonts w:asciiTheme="minorHAnsi" w:hAnsiTheme="minorHAnsi"/>
                <w:color w:val="515151" w:themeColor="text1"/>
              </w:rPr>
            </w:pPr>
            <w:r w:rsidRPr="00D75CAC">
              <w:rPr>
                <w:rFonts w:asciiTheme="minorHAnsi" w:hAnsiTheme="minorHAnsi"/>
                <w:color w:val="515151" w:themeColor="text1"/>
              </w:rPr>
              <w:t>Fraction of non</w:t>
            </w:r>
            <w:r w:rsidR="00AE2881">
              <w:rPr>
                <w:rFonts w:asciiTheme="minorHAnsi" w:hAnsiTheme="minorHAnsi"/>
                <w:color w:val="515151" w:themeColor="text1"/>
              </w:rPr>
              <w:t>-</w:t>
            </w:r>
            <w:r w:rsidRPr="00D75CAC">
              <w:rPr>
                <w:rFonts w:asciiTheme="minorHAnsi" w:hAnsiTheme="minorHAnsi"/>
                <w:color w:val="515151" w:themeColor="text1"/>
              </w:rPr>
              <w:t>renewable biomass (</w:t>
            </w:r>
            <m:oMath>
              <m:sSub>
                <m:sSubPr>
                  <m:ctrlPr>
                    <w:rPr>
                      <w:rFonts w:ascii="Cambria Math" w:hAnsi="Cambria Math"/>
                      <w:i/>
                      <w:color w:val="515151" w:themeColor="text1"/>
                    </w:rPr>
                  </m:ctrlPr>
                </m:sSubPr>
                <m:e>
                  <m:r>
                    <w:rPr>
                      <w:rFonts w:ascii="Cambria Math" w:hAnsi="Cambria Math"/>
                      <w:color w:val="515151" w:themeColor="text1"/>
                    </w:rPr>
                    <m:t>f</m:t>
                  </m:r>
                </m:e>
                <m:sub>
                  <m:r>
                    <w:rPr>
                      <w:rFonts w:ascii="Cambria Math" w:hAnsi="Cambria Math"/>
                      <w:color w:val="515151" w:themeColor="text1"/>
                    </w:rPr>
                    <m:t>NRB,y</m:t>
                  </m:r>
                </m:sub>
              </m:sSub>
            </m:oMath>
            <w:r>
              <w:rPr>
                <w:rFonts w:asciiTheme="minorHAnsi" w:hAnsiTheme="minorHAnsi"/>
                <w:color w:val="515151" w:themeColor="text1"/>
              </w:rPr>
              <w:t>)</w:t>
            </w:r>
          </w:p>
        </w:tc>
      </w:tr>
      <w:tr w:rsidR="00D75CAC" w:rsidRPr="00575488" w14:paraId="62492125" w14:textId="77777777" w:rsidTr="00D75CAC">
        <w:tc>
          <w:tcPr>
            <w:tcW w:w="2743" w:type="dxa"/>
          </w:tcPr>
          <w:p w14:paraId="3D2D7A6C" w14:textId="2DA32946"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Unit</w:t>
            </w:r>
          </w:p>
        </w:tc>
        <w:tc>
          <w:tcPr>
            <w:tcW w:w="7010" w:type="dxa"/>
          </w:tcPr>
          <w:p w14:paraId="14BE4426" w14:textId="6773288F"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Percent</w:t>
            </w:r>
          </w:p>
        </w:tc>
      </w:tr>
      <w:tr w:rsidR="00D75CAC" w:rsidRPr="00575488" w14:paraId="64DA514B" w14:textId="77777777" w:rsidTr="00D75CAC">
        <w:tc>
          <w:tcPr>
            <w:tcW w:w="2743" w:type="dxa"/>
          </w:tcPr>
          <w:p w14:paraId="5753D3A3" w14:textId="77777777"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Description</w:t>
            </w:r>
          </w:p>
        </w:tc>
        <w:tc>
          <w:tcPr>
            <w:tcW w:w="7010" w:type="dxa"/>
          </w:tcPr>
          <w:p w14:paraId="45EB098D" w14:textId="77777777" w:rsidR="00D75CAC" w:rsidRPr="00824BF8" w:rsidRDefault="00D75CAC" w:rsidP="00D75CAC">
            <w:pPr>
              <w:pStyle w:val="Default"/>
              <w:rPr>
                <w:rFonts w:asciiTheme="minorHAnsi" w:hAnsiTheme="minorHAnsi"/>
                <w:color w:val="515151" w:themeColor="text1"/>
                <w:szCs w:val="20"/>
              </w:rPr>
            </w:pPr>
            <w:r w:rsidRPr="00824BF8">
              <w:rPr>
                <w:rFonts w:asciiTheme="minorHAnsi" w:hAnsiTheme="minorHAnsi"/>
                <w:color w:val="515151" w:themeColor="text1"/>
                <w:szCs w:val="20"/>
              </w:rPr>
              <w:t>Fraction of woody biomass used in the absence of the project activity in year y that can be established as non-renewable biomass using survey methods.</w:t>
            </w:r>
          </w:p>
        </w:tc>
      </w:tr>
      <w:tr w:rsidR="00D75CAC" w:rsidRPr="00575488" w14:paraId="543D0A8C" w14:textId="77777777" w:rsidTr="00D75CAC">
        <w:tc>
          <w:tcPr>
            <w:tcW w:w="2743" w:type="dxa"/>
          </w:tcPr>
          <w:p w14:paraId="266D99BE" w14:textId="77777777"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Source of data</w:t>
            </w:r>
          </w:p>
        </w:tc>
        <w:tc>
          <w:tcPr>
            <w:tcW w:w="7010" w:type="dxa"/>
          </w:tcPr>
          <w:p w14:paraId="55AFCC4A" w14:textId="77777777" w:rsidR="00D75CAC" w:rsidRPr="00824BF8" w:rsidRDefault="00D75CAC" w:rsidP="00D75CAC">
            <w:pPr>
              <w:pStyle w:val="Default"/>
              <w:rPr>
                <w:rFonts w:asciiTheme="minorHAnsi" w:hAnsiTheme="minorHAnsi"/>
                <w:color w:val="515151" w:themeColor="text1"/>
                <w:szCs w:val="20"/>
              </w:rPr>
            </w:pPr>
            <w:r w:rsidRPr="00824BF8">
              <w:rPr>
                <w:rFonts w:asciiTheme="minorHAnsi" w:hAnsiTheme="minorHAnsi"/>
                <w:color w:val="515151" w:themeColor="text1"/>
                <w:szCs w:val="20"/>
              </w:rPr>
              <w:t>FAO (Forest Resource Assessment 2010).</w:t>
            </w:r>
          </w:p>
        </w:tc>
      </w:tr>
      <w:tr w:rsidR="00D75CAC" w:rsidRPr="00575488" w14:paraId="7624ED55" w14:textId="77777777" w:rsidTr="00D75CAC">
        <w:tc>
          <w:tcPr>
            <w:tcW w:w="2743" w:type="dxa"/>
          </w:tcPr>
          <w:p w14:paraId="44CA8AA1" w14:textId="77777777"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Value(s) applied</w:t>
            </w:r>
          </w:p>
        </w:tc>
        <w:tc>
          <w:tcPr>
            <w:tcW w:w="7010" w:type="dxa"/>
          </w:tcPr>
          <w:p w14:paraId="2935204D" w14:textId="77777777" w:rsidR="00D75CAC" w:rsidRPr="00824BF8" w:rsidRDefault="00D75CAC" w:rsidP="00D75CAC">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0.962 </w:t>
            </w:r>
          </w:p>
        </w:tc>
      </w:tr>
      <w:tr w:rsidR="00D75CAC" w:rsidRPr="00575488" w14:paraId="7325A398" w14:textId="77777777" w:rsidTr="00D75CAC">
        <w:tc>
          <w:tcPr>
            <w:tcW w:w="2743" w:type="dxa"/>
          </w:tcPr>
          <w:p w14:paraId="01B1BB09" w14:textId="77777777"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 xml:space="preserve">Choice of data </w:t>
            </w:r>
          </w:p>
          <w:p w14:paraId="1A610424" w14:textId="77777777"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or measurement methods and procedures</w:t>
            </w:r>
          </w:p>
        </w:tc>
        <w:tc>
          <w:tcPr>
            <w:tcW w:w="7010" w:type="dxa"/>
          </w:tcPr>
          <w:p w14:paraId="16E89194" w14:textId="77777777" w:rsidR="00D75CAC" w:rsidRPr="00824BF8" w:rsidRDefault="00D75CAC" w:rsidP="00D75CAC">
            <w:pPr>
              <w:pStyle w:val="Default"/>
              <w:rPr>
                <w:rFonts w:asciiTheme="minorHAnsi" w:hAnsiTheme="minorHAnsi"/>
                <w:color w:val="515151" w:themeColor="text1"/>
              </w:rPr>
            </w:pPr>
            <w:r w:rsidRPr="00824BF8">
              <w:rPr>
                <w:rFonts w:asciiTheme="minorHAnsi" w:hAnsiTheme="minorHAnsi"/>
                <w:color w:val="515151" w:themeColor="text1"/>
                <w:szCs w:val="20"/>
              </w:rPr>
              <w:t xml:space="preserve">In the NRB assessment using FAO data for each type of forest or non-forest area, most areas do not fulfil the DRB conditions as per the methodology. Areas where the growing stock has increased were counted as renewable sourcing areas. </w:t>
            </w:r>
          </w:p>
        </w:tc>
      </w:tr>
      <w:tr w:rsidR="00D75CAC" w:rsidRPr="00575488" w14:paraId="3E1B9C78" w14:textId="77777777" w:rsidTr="00D75CAC">
        <w:tc>
          <w:tcPr>
            <w:tcW w:w="2743" w:type="dxa"/>
          </w:tcPr>
          <w:p w14:paraId="0601ED57" w14:textId="77777777" w:rsidR="00D75CAC" w:rsidRPr="00824BF8" w:rsidRDefault="00D75CAC" w:rsidP="00D75CAC">
            <w:pPr>
              <w:pStyle w:val="SDMTableBoxParaNotNumbered"/>
              <w:keepNext/>
              <w:rPr>
                <w:rFonts w:asciiTheme="minorHAnsi" w:hAnsiTheme="minorHAnsi"/>
                <w:color w:val="515151" w:themeColor="text1"/>
              </w:rPr>
            </w:pPr>
            <w:r w:rsidRPr="00824BF8">
              <w:rPr>
                <w:rFonts w:asciiTheme="minorHAnsi" w:hAnsiTheme="minorHAnsi"/>
                <w:color w:val="515151" w:themeColor="text1"/>
              </w:rPr>
              <w:t>Purpose of data/parameter</w:t>
            </w:r>
          </w:p>
        </w:tc>
        <w:tc>
          <w:tcPr>
            <w:tcW w:w="7010" w:type="dxa"/>
          </w:tcPr>
          <w:p w14:paraId="12FAE478" w14:textId="77DA96BE" w:rsidR="00D75CAC" w:rsidRPr="00824BF8" w:rsidRDefault="00D75CAC">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Calculation of </w:t>
            </w:r>
            <w:r>
              <w:rPr>
                <w:rFonts w:asciiTheme="minorHAnsi" w:hAnsiTheme="minorHAnsi"/>
                <w:color w:val="515151" w:themeColor="text1"/>
                <w:szCs w:val="20"/>
              </w:rPr>
              <w:t>emission reductions.</w:t>
            </w:r>
          </w:p>
        </w:tc>
      </w:tr>
      <w:tr w:rsidR="00D75CAC" w:rsidRPr="00575488" w14:paraId="49010FB0" w14:textId="77777777" w:rsidTr="00D75CAC">
        <w:tc>
          <w:tcPr>
            <w:tcW w:w="2743" w:type="dxa"/>
          </w:tcPr>
          <w:p w14:paraId="444E8F5F" w14:textId="77777777"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Additional comments</w:t>
            </w:r>
          </w:p>
        </w:tc>
        <w:tc>
          <w:tcPr>
            <w:tcW w:w="7010" w:type="dxa"/>
          </w:tcPr>
          <w:p w14:paraId="14DEF8F2" w14:textId="77777777" w:rsidR="00D75CAC" w:rsidRPr="00824BF8" w:rsidRDefault="00D75CAC" w:rsidP="00D75CAC">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This is a fixed value throughout the crediting period. </w:t>
            </w:r>
          </w:p>
        </w:tc>
      </w:tr>
    </w:tbl>
    <w:p w14:paraId="48C3C07C" w14:textId="77777777" w:rsidR="003F407B" w:rsidRPr="00D265E2" w:rsidRDefault="003F407B" w:rsidP="003F407B">
      <w:pPr>
        <w:pStyle w:val="SDMPDDPoASubSection1"/>
        <w:tabs>
          <w:tab w:val="clear" w:pos="1474"/>
          <w:tab w:val="left" w:pos="709"/>
        </w:tabs>
        <w:spacing w:before="0"/>
        <w:ind w:left="1729"/>
        <w:rPr>
          <w:color w:val="FFFFFF" w:themeColor="background1"/>
        </w:rPr>
      </w:pPr>
    </w:p>
    <w:tbl>
      <w:tblPr>
        <w:tblStyle w:val="GSBoldTable"/>
        <w:tblW w:w="9753" w:type="dxa"/>
        <w:tblLayout w:type="fixed"/>
        <w:tblLook w:val="01E0" w:firstRow="1" w:lastRow="1" w:firstColumn="1" w:lastColumn="1" w:noHBand="0" w:noVBand="0"/>
      </w:tblPr>
      <w:tblGrid>
        <w:gridCol w:w="2743"/>
        <w:gridCol w:w="7010"/>
      </w:tblGrid>
      <w:tr w:rsidR="00D265E2" w:rsidRPr="00D265E2" w14:paraId="406678D1" w14:textId="77777777" w:rsidTr="00D75CAC">
        <w:trPr>
          <w:cnfStyle w:val="100000000000" w:firstRow="1" w:lastRow="0" w:firstColumn="0" w:lastColumn="0" w:oddVBand="0" w:evenVBand="0" w:oddHBand="0" w:evenHBand="0" w:firstRowFirstColumn="0" w:firstRowLastColumn="0" w:lastRowFirstColumn="0" w:lastRowLastColumn="0"/>
        </w:trPr>
        <w:tc>
          <w:tcPr>
            <w:tcW w:w="2743" w:type="dxa"/>
          </w:tcPr>
          <w:p w14:paraId="18BC1DF4" w14:textId="17D5FBCD" w:rsidR="003F407B" w:rsidRPr="00824BF8" w:rsidRDefault="009613AC" w:rsidP="009B2831">
            <w:pPr>
              <w:pStyle w:val="SDMTableBoxParaNotNumbered"/>
              <w:keepNext/>
              <w:keepLines/>
              <w:rPr>
                <w:rFonts w:asciiTheme="minorHAnsi" w:hAnsiTheme="minorHAnsi"/>
                <w:b/>
                <w:color w:val="FFFFFF" w:themeColor="background1"/>
              </w:rPr>
            </w:pPr>
            <w:r w:rsidRPr="009613AC">
              <w:rPr>
                <w:rFonts w:asciiTheme="minorHAnsi" w:hAnsiTheme="minorHAnsi"/>
                <w:b/>
                <w:color w:val="FFFFFF" w:themeColor="background1"/>
              </w:rPr>
              <w:t xml:space="preserve">Relevant SDG Indicator </w:t>
            </w:r>
          </w:p>
        </w:tc>
        <w:tc>
          <w:tcPr>
            <w:tcW w:w="7010" w:type="dxa"/>
          </w:tcPr>
          <w:p w14:paraId="03D5E95E" w14:textId="6166B6BE" w:rsidR="003F407B" w:rsidRPr="00824BF8" w:rsidRDefault="009613AC" w:rsidP="009B2831">
            <w:pPr>
              <w:pStyle w:val="SDMTableBoxParaNotNumbered"/>
              <w:keepNext/>
              <w:keepLines/>
              <w:rPr>
                <w:rFonts w:asciiTheme="minorHAnsi" w:hAnsiTheme="minorHAnsi"/>
                <w:b/>
                <w:color w:val="FFFFFF" w:themeColor="background1"/>
              </w:rPr>
            </w:pPr>
            <w:r w:rsidRPr="009613AC">
              <w:rPr>
                <w:rFonts w:asciiTheme="minorHAnsi" w:hAnsiTheme="minorHAnsi"/>
                <w:b/>
                <w:color w:val="FFFFFF" w:themeColor="background1"/>
              </w:rPr>
              <w:t>SDG 13, Target 13.2, Indicator 13.2.1</w:t>
            </w:r>
            <w:r w:rsidRPr="009613AC" w:rsidDel="009613AC">
              <w:rPr>
                <w:rFonts w:asciiTheme="minorHAnsi" w:hAnsiTheme="minorHAnsi"/>
                <w:b/>
                <w:color w:val="FFFFFF" w:themeColor="background1"/>
              </w:rPr>
              <w:t xml:space="preserve"> </w:t>
            </w:r>
          </w:p>
        </w:tc>
      </w:tr>
      <w:tr w:rsidR="003F407B" w:rsidRPr="00575488" w14:paraId="0D05004E" w14:textId="77777777" w:rsidTr="00D75CAC">
        <w:tc>
          <w:tcPr>
            <w:tcW w:w="2743" w:type="dxa"/>
          </w:tcPr>
          <w:p w14:paraId="3635B036" w14:textId="3C7D7C1A" w:rsidR="003F407B" w:rsidRPr="00824BF8" w:rsidRDefault="009613AC" w:rsidP="009B2831">
            <w:pPr>
              <w:pStyle w:val="SDMTableBoxParaNotNumbered"/>
              <w:rPr>
                <w:rFonts w:asciiTheme="minorHAnsi" w:hAnsiTheme="minorHAnsi"/>
                <w:color w:val="515151" w:themeColor="text1"/>
              </w:rPr>
            </w:pPr>
            <w:r w:rsidRPr="009613AC">
              <w:rPr>
                <w:rFonts w:asciiTheme="minorHAnsi" w:hAnsiTheme="minorHAnsi"/>
                <w:color w:val="515151" w:themeColor="text1"/>
              </w:rPr>
              <w:t>Data/parameter</w:t>
            </w:r>
            <w:r w:rsidRPr="009613AC" w:rsidDel="00D75CAC">
              <w:rPr>
                <w:rFonts w:asciiTheme="minorHAnsi" w:hAnsiTheme="minorHAnsi"/>
                <w:color w:val="515151" w:themeColor="text1"/>
              </w:rPr>
              <w:t xml:space="preserve"> </w:t>
            </w:r>
          </w:p>
        </w:tc>
        <w:tc>
          <w:tcPr>
            <w:tcW w:w="7010" w:type="dxa"/>
          </w:tcPr>
          <w:p w14:paraId="44B5C9A1" w14:textId="350ECC8F" w:rsidR="003F407B" w:rsidRPr="00824BF8" w:rsidRDefault="009613AC">
            <w:pPr>
              <w:pStyle w:val="Default"/>
              <w:rPr>
                <w:rFonts w:asciiTheme="minorHAnsi" w:hAnsiTheme="minorHAnsi"/>
                <w:color w:val="515151" w:themeColor="text1"/>
                <w:szCs w:val="20"/>
              </w:rPr>
            </w:pPr>
            <w:r w:rsidRPr="009613AC">
              <w:rPr>
                <w:rFonts w:asciiTheme="minorHAnsi" w:hAnsiTheme="minorHAnsi"/>
                <w:color w:val="515151" w:themeColor="text1"/>
                <w:szCs w:val="20"/>
              </w:rPr>
              <w:t>Net calorific value (</w:t>
            </w:r>
            <m:oMath>
              <m:sSub>
                <m:sSubPr>
                  <m:ctrlPr>
                    <w:rPr>
                      <w:rFonts w:ascii="Cambria Math" w:hAnsi="Cambria Math"/>
                      <w:i/>
                      <w:color w:val="515151" w:themeColor="text1"/>
                      <w:szCs w:val="20"/>
                    </w:rPr>
                  </m:ctrlPr>
                </m:sSubPr>
                <m:e>
                  <m:r>
                    <w:rPr>
                      <w:rFonts w:ascii="Cambria Math" w:hAnsi="Cambria Math"/>
                      <w:color w:val="515151" w:themeColor="text1"/>
                      <w:szCs w:val="20"/>
                    </w:rPr>
                    <m:t>NCV</m:t>
                  </m:r>
                </m:e>
                <m:sub>
                  <m:r>
                    <w:rPr>
                      <w:rFonts w:ascii="Cambria Math" w:hAnsi="Cambria Math"/>
                      <w:color w:val="515151" w:themeColor="text1"/>
                      <w:szCs w:val="20"/>
                    </w:rPr>
                    <m:t>biomass</m:t>
                  </m:r>
                </m:sub>
              </m:sSub>
            </m:oMath>
            <w:r w:rsidRPr="009613AC">
              <w:rPr>
                <w:rFonts w:asciiTheme="minorHAnsi" w:hAnsiTheme="minorHAnsi"/>
                <w:color w:val="515151" w:themeColor="text1"/>
                <w:szCs w:val="20"/>
              </w:rPr>
              <w:t>)</w:t>
            </w:r>
            <w:r w:rsidRPr="009613AC" w:rsidDel="00D75CAC">
              <w:rPr>
                <w:rFonts w:asciiTheme="minorHAnsi" w:hAnsiTheme="minorHAnsi"/>
                <w:color w:val="515151" w:themeColor="text1"/>
                <w:szCs w:val="20"/>
              </w:rPr>
              <w:t xml:space="preserve"> </w:t>
            </w:r>
          </w:p>
        </w:tc>
      </w:tr>
      <w:tr w:rsidR="00D75CAC" w:rsidRPr="00575488" w14:paraId="11F432F0" w14:textId="77777777" w:rsidTr="00D75CAC">
        <w:tc>
          <w:tcPr>
            <w:tcW w:w="2743" w:type="dxa"/>
          </w:tcPr>
          <w:p w14:paraId="5F1E30C6" w14:textId="2C3E9945"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Unit</w:t>
            </w:r>
          </w:p>
        </w:tc>
        <w:tc>
          <w:tcPr>
            <w:tcW w:w="7010" w:type="dxa"/>
          </w:tcPr>
          <w:p w14:paraId="2441F8D8" w14:textId="788AB51E" w:rsidR="00D75CAC" w:rsidRPr="00824BF8" w:rsidRDefault="00D75CAC" w:rsidP="00D75CAC">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TJ/tonne </w:t>
            </w:r>
          </w:p>
        </w:tc>
      </w:tr>
      <w:tr w:rsidR="00D75CAC" w:rsidRPr="00575488" w14:paraId="0BDBEAE1" w14:textId="77777777" w:rsidTr="00D75CAC">
        <w:tc>
          <w:tcPr>
            <w:tcW w:w="2743" w:type="dxa"/>
          </w:tcPr>
          <w:p w14:paraId="13E96982" w14:textId="77777777"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Description</w:t>
            </w:r>
          </w:p>
        </w:tc>
        <w:tc>
          <w:tcPr>
            <w:tcW w:w="7010" w:type="dxa"/>
          </w:tcPr>
          <w:p w14:paraId="7C816A67" w14:textId="77777777" w:rsidR="00D75CAC" w:rsidRPr="00824BF8" w:rsidRDefault="00D75CAC" w:rsidP="00D75CAC">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Net calorific value of the non-renewable woody biomass that is substituted </w:t>
            </w:r>
          </w:p>
        </w:tc>
      </w:tr>
      <w:tr w:rsidR="00D75CAC" w:rsidRPr="00575488" w14:paraId="45BC6359" w14:textId="77777777" w:rsidTr="00D75CAC">
        <w:tc>
          <w:tcPr>
            <w:tcW w:w="2743" w:type="dxa"/>
          </w:tcPr>
          <w:p w14:paraId="0ECE7E27" w14:textId="77777777"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Source of data</w:t>
            </w:r>
          </w:p>
        </w:tc>
        <w:tc>
          <w:tcPr>
            <w:tcW w:w="7010" w:type="dxa"/>
          </w:tcPr>
          <w:p w14:paraId="22CA4B6D" w14:textId="77777777" w:rsidR="00D75CAC" w:rsidRPr="00824BF8" w:rsidRDefault="00D75CAC" w:rsidP="00D75CAC">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AMS I.E., ver. 4 </w:t>
            </w:r>
          </w:p>
        </w:tc>
      </w:tr>
      <w:tr w:rsidR="00D75CAC" w:rsidRPr="00575488" w14:paraId="475485C7" w14:textId="77777777" w:rsidTr="00D75CAC">
        <w:tc>
          <w:tcPr>
            <w:tcW w:w="2743" w:type="dxa"/>
          </w:tcPr>
          <w:p w14:paraId="673C237F" w14:textId="77777777"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lastRenderedPageBreak/>
              <w:t>Value(s) applied</w:t>
            </w:r>
          </w:p>
        </w:tc>
        <w:tc>
          <w:tcPr>
            <w:tcW w:w="7010" w:type="dxa"/>
          </w:tcPr>
          <w:p w14:paraId="092ABAFF" w14:textId="77777777" w:rsidR="00D75CAC" w:rsidRPr="00824BF8" w:rsidRDefault="00D75CAC" w:rsidP="00D75CAC">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0.015 </w:t>
            </w:r>
          </w:p>
        </w:tc>
      </w:tr>
      <w:tr w:rsidR="00D75CAC" w:rsidRPr="00575488" w14:paraId="7B69D40C" w14:textId="77777777" w:rsidTr="00D75CAC">
        <w:tc>
          <w:tcPr>
            <w:tcW w:w="2743" w:type="dxa"/>
          </w:tcPr>
          <w:p w14:paraId="109D0587" w14:textId="77777777"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 xml:space="preserve">Choice of data </w:t>
            </w:r>
          </w:p>
          <w:p w14:paraId="72E9C489" w14:textId="77777777"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or measurement methods and procedures</w:t>
            </w:r>
          </w:p>
        </w:tc>
        <w:tc>
          <w:tcPr>
            <w:tcW w:w="7010" w:type="dxa"/>
          </w:tcPr>
          <w:p w14:paraId="0D25BA54" w14:textId="77777777" w:rsidR="00D75CAC" w:rsidRPr="00824BF8" w:rsidRDefault="00D75CAC" w:rsidP="00D75CAC">
            <w:pPr>
              <w:pStyle w:val="Default"/>
              <w:rPr>
                <w:rFonts w:asciiTheme="minorHAnsi" w:hAnsiTheme="minorHAnsi"/>
                <w:color w:val="515151" w:themeColor="text1"/>
                <w:szCs w:val="20"/>
              </w:rPr>
            </w:pPr>
            <w:r w:rsidRPr="00824BF8">
              <w:rPr>
                <w:rFonts w:asciiTheme="minorHAnsi" w:hAnsiTheme="minorHAnsi"/>
                <w:color w:val="515151" w:themeColor="text1"/>
                <w:szCs w:val="20"/>
              </w:rPr>
              <w:t>This is a default value as per AMS I.E., ver. 4, par. 5.</w:t>
            </w:r>
          </w:p>
        </w:tc>
      </w:tr>
      <w:tr w:rsidR="00D75CAC" w:rsidRPr="00575488" w14:paraId="4FDDC211" w14:textId="77777777" w:rsidTr="00D75CAC">
        <w:tc>
          <w:tcPr>
            <w:tcW w:w="2743" w:type="dxa"/>
          </w:tcPr>
          <w:p w14:paraId="25F8BEA8" w14:textId="77777777" w:rsidR="00D75CAC" w:rsidRPr="00824BF8" w:rsidRDefault="00D75CAC" w:rsidP="00D75CAC">
            <w:pPr>
              <w:pStyle w:val="SDMTableBoxParaNotNumbered"/>
              <w:keepNext/>
              <w:rPr>
                <w:rFonts w:asciiTheme="minorHAnsi" w:hAnsiTheme="minorHAnsi"/>
                <w:color w:val="515151" w:themeColor="text1"/>
              </w:rPr>
            </w:pPr>
            <w:r w:rsidRPr="00824BF8">
              <w:rPr>
                <w:rFonts w:asciiTheme="minorHAnsi" w:hAnsiTheme="minorHAnsi"/>
                <w:color w:val="515151" w:themeColor="text1"/>
              </w:rPr>
              <w:t>Purpose of data/parameter</w:t>
            </w:r>
          </w:p>
        </w:tc>
        <w:tc>
          <w:tcPr>
            <w:tcW w:w="7010" w:type="dxa"/>
          </w:tcPr>
          <w:p w14:paraId="52B6F4E4" w14:textId="13CA5EFF" w:rsidR="00D75CAC" w:rsidRPr="00824BF8" w:rsidRDefault="00D75CAC" w:rsidP="00756C70">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Calculation of </w:t>
            </w:r>
            <w:r w:rsidR="009613AC">
              <w:rPr>
                <w:rFonts w:asciiTheme="minorHAnsi" w:hAnsiTheme="minorHAnsi"/>
                <w:color w:val="515151" w:themeColor="text1"/>
                <w:szCs w:val="20"/>
              </w:rPr>
              <w:t>emission reductions.</w:t>
            </w:r>
          </w:p>
        </w:tc>
      </w:tr>
      <w:tr w:rsidR="00D75CAC" w:rsidRPr="00575488" w14:paraId="784653AD" w14:textId="77777777" w:rsidTr="00D75CAC">
        <w:tc>
          <w:tcPr>
            <w:tcW w:w="2743" w:type="dxa"/>
          </w:tcPr>
          <w:p w14:paraId="096AEDF5" w14:textId="77777777" w:rsidR="00D75CAC" w:rsidRPr="00824BF8" w:rsidRDefault="00D75CAC" w:rsidP="00D75CAC">
            <w:pPr>
              <w:pStyle w:val="SDMTableBoxParaNotNumbered"/>
              <w:rPr>
                <w:rFonts w:asciiTheme="minorHAnsi" w:hAnsiTheme="minorHAnsi"/>
                <w:color w:val="515151" w:themeColor="text1"/>
              </w:rPr>
            </w:pPr>
            <w:r w:rsidRPr="00824BF8">
              <w:rPr>
                <w:rFonts w:asciiTheme="minorHAnsi" w:hAnsiTheme="minorHAnsi"/>
                <w:color w:val="515151" w:themeColor="text1"/>
              </w:rPr>
              <w:t>Additional comments</w:t>
            </w:r>
          </w:p>
        </w:tc>
        <w:tc>
          <w:tcPr>
            <w:tcW w:w="7010" w:type="dxa"/>
          </w:tcPr>
          <w:p w14:paraId="66377311" w14:textId="77777777" w:rsidR="00D75CAC" w:rsidRPr="00824BF8" w:rsidRDefault="00D75CAC" w:rsidP="00D75CAC">
            <w:pPr>
              <w:pStyle w:val="Default"/>
              <w:rPr>
                <w:rFonts w:asciiTheme="minorHAnsi" w:hAnsiTheme="minorHAnsi"/>
                <w:color w:val="515151" w:themeColor="text1"/>
                <w:szCs w:val="20"/>
              </w:rPr>
            </w:pPr>
            <w:r w:rsidRPr="00824BF8">
              <w:rPr>
                <w:rFonts w:asciiTheme="minorHAnsi" w:hAnsiTheme="minorHAnsi"/>
                <w:color w:val="515151" w:themeColor="text1"/>
                <w:szCs w:val="20"/>
              </w:rPr>
              <w:t>This is a fixed value throughout the crediting period.</w:t>
            </w:r>
          </w:p>
        </w:tc>
      </w:tr>
    </w:tbl>
    <w:p w14:paraId="3D050165" w14:textId="77777777" w:rsidR="003F407B" w:rsidRPr="00D265E2" w:rsidRDefault="003F407B" w:rsidP="003F407B">
      <w:pPr>
        <w:pStyle w:val="SDMPDDPoASubSection1"/>
        <w:tabs>
          <w:tab w:val="clear" w:pos="1474"/>
          <w:tab w:val="left" w:pos="709"/>
        </w:tabs>
        <w:spacing w:before="0"/>
        <w:ind w:left="1729"/>
        <w:rPr>
          <w:color w:val="FFFFFF" w:themeColor="background1"/>
        </w:rPr>
      </w:pPr>
    </w:p>
    <w:tbl>
      <w:tblPr>
        <w:tblStyle w:val="GSBoldTable"/>
        <w:tblW w:w="9753" w:type="dxa"/>
        <w:tblLayout w:type="fixed"/>
        <w:tblLook w:val="01E0" w:firstRow="1" w:lastRow="1" w:firstColumn="1" w:lastColumn="1" w:noHBand="0" w:noVBand="0"/>
      </w:tblPr>
      <w:tblGrid>
        <w:gridCol w:w="2743"/>
        <w:gridCol w:w="7010"/>
      </w:tblGrid>
      <w:tr w:rsidR="002D6D9A" w:rsidRPr="00D265E2" w14:paraId="48FA9925" w14:textId="77777777" w:rsidTr="002D6D9A">
        <w:trPr>
          <w:cnfStyle w:val="100000000000" w:firstRow="1" w:lastRow="0" w:firstColumn="0" w:lastColumn="0" w:oddVBand="0" w:evenVBand="0" w:oddHBand="0" w:evenHBand="0" w:firstRowFirstColumn="0" w:firstRowLastColumn="0" w:lastRowFirstColumn="0" w:lastRowLastColumn="0"/>
        </w:trPr>
        <w:tc>
          <w:tcPr>
            <w:tcW w:w="2743" w:type="dxa"/>
          </w:tcPr>
          <w:p w14:paraId="041348C0" w14:textId="55AB1655" w:rsidR="002D6D9A" w:rsidRPr="00824BF8" w:rsidRDefault="002D6D9A" w:rsidP="002D6D9A">
            <w:pPr>
              <w:pStyle w:val="SDMTableBoxParaNotNumbered"/>
              <w:keepNext/>
              <w:keepLines/>
              <w:rPr>
                <w:rFonts w:asciiTheme="minorHAnsi" w:hAnsiTheme="minorHAnsi"/>
                <w:b/>
                <w:color w:val="FFFFFF" w:themeColor="background1"/>
              </w:rPr>
            </w:pPr>
            <w:r w:rsidRPr="009613AC">
              <w:rPr>
                <w:rFonts w:asciiTheme="minorHAnsi" w:hAnsiTheme="minorHAnsi"/>
                <w:b/>
                <w:color w:val="FFFFFF" w:themeColor="background1"/>
              </w:rPr>
              <w:t xml:space="preserve">Relevant SDG Indicator </w:t>
            </w:r>
          </w:p>
        </w:tc>
        <w:tc>
          <w:tcPr>
            <w:tcW w:w="7010" w:type="dxa"/>
          </w:tcPr>
          <w:p w14:paraId="72DAA50B" w14:textId="3B80F192" w:rsidR="002D6D9A" w:rsidRPr="00824BF8" w:rsidRDefault="002D6D9A" w:rsidP="002D6D9A">
            <w:pPr>
              <w:pStyle w:val="SDMTableBoxParaNotNumbered"/>
              <w:keepNext/>
              <w:keepLines/>
              <w:rPr>
                <w:rFonts w:asciiTheme="minorHAnsi" w:hAnsiTheme="minorHAnsi"/>
                <w:b/>
                <w:color w:val="FFFFFF" w:themeColor="background1"/>
              </w:rPr>
            </w:pPr>
            <w:r w:rsidRPr="009613AC">
              <w:rPr>
                <w:rFonts w:asciiTheme="minorHAnsi" w:hAnsiTheme="minorHAnsi"/>
                <w:b/>
                <w:color w:val="FFFFFF" w:themeColor="background1"/>
              </w:rPr>
              <w:t>SDG 13, Target 13.2, Indicator 13.2.1</w:t>
            </w:r>
            <w:r w:rsidRPr="009613AC" w:rsidDel="009613AC">
              <w:rPr>
                <w:rFonts w:asciiTheme="minorHAnsi" w:hAnsiTheme="minorHAnsi"/>
                <w:b/>
                <w:color w:val="FFFFFF" w:themeColor="background1"/>
              </w:rPr>
              <w:t xml:space="preserve"> </w:t>
            </w:r>
          </w:p>
        </w:tc>
      </w:tr>
      <w:tr w:rsidR="002D6D9A" w:rsidRPr="00575488" w14:paraId="504196C2" w14:textId="77777777" w:rsidTr="002D6D9A">
        <w:tc>
          <w:tcPr>
            <w:tcW w:w="2743" w:type="dxa"/>
          </w:tcPr>
          <w:p w14:paraId="50D20DE9" w14:textId="5CC034FF" w:rsidR="002D6D9A" w:rsidRPr="00824BF8" w:rsidRDefault="002D6D9A" w:rsidP="002D6D9A">
            <w:pPr>
              <w:pStyle w:val="SDMTableBoxParaNotNumbered"/>
              <w:rPr>
                <w:rFonts w:asciiTheme="minorHAnsi" w:hAnsiTheme="minorHAnsi"/>
                <w:color w:val="515151" w:themeColor="text1"/>
              </w:rPr>
            </w:pPr>
            <w:r>
              <w:rPr>
                <w:rFonts w:asciiTheme="minorHAnsi" w:hAnsiTheme="minorHAnsi"/>
                <w:color w:val="515151" w:themeColor="text1"/>
              </w:rPr>
              <w:t>Data/parameter</w:t>
            </w:r>
          </w:p>
        </w:tc>
        <w:tc>
          <w:tcPr>
            <w:tcW w:w="7010" w:type="dxa"/>
          </w:tcPr>
          <w:p w14:paraId="256C8BF2" w14:textId="34868367" w:rsidR="002D6D9A" w:rsidRPr="00824BF8" w:rsidRDefault="002D6D9A" w:rsidP="002D6D9A">
            <w:pPr>
              <w:pStyle w:val="Default"/>
              <w:rPr>
                <w:rFonts w:asciiTheme="minorHAnsi" w:hAnsiTheme="minorHAnsi"/>
                <w:color w:val="515151" w:themeColor="text1"/>
                <w:szCs w:val="20"/>
              </w:rPr>
            </w:pPr>
            <w:r w:rsidRPr="002D6D9A">
              <w:rPr>
                <w:rFonts w:asciiTheme="minorHAnsi" w:hAnsiTheme="minorHAnsi"/>
                <w:color w:val="515151" w:themeColor="text1"/>
                <w:szCs w:val="20"/>
              </w:rPr>
              <w:t>Emiss</w:t>
            </w:r>
            <w:r w:rsidR="00AE2881">
              <w:rPr>
                <w:rFonts w:asciiTheme="minorHAnsi" w:hAnsiTheme="minorHAnsi"/>
                <w:color w:val="515151" w:themeColor="text1"/>
                <w:szCs w:val="20"/>
              </w:rPr>
              <w:t>i</w:t>
            </w:r>
            <w:r w:rsidRPr="002D6D9A">
              <w:rPr>
                <w:rFonts w:asciiTheme="minorHAnsi" w:hAnsiTheme="minorHAnsi"/>
                <w:color w:val="515151" w:themeColor="text1"/>
                <w:szCs w:val="20"/>
              </w:rPr>
              <w:t>on factor (</w:t>
            </w:r>
            <m:oMath>
              <m:sSub>
                <m:sSubPr>
                  <m:ctrlPr>
                    <w:rPr>
                      <w:rFonts w:ascii="Cambria Math" w:hAnsi="Cambria Math"/>
                      <w:i/>
                      <w:color w:val="515151" w:themeColor="text1"/>
                      <w:szCs w:val="20"/>
                    </w:rPr>
                  </m:ctrlPr>
                </m:sSubPr>
                <m:e>
                  <m:r>
                    <w:rPr>
                      <w:rFonts w:ascii="Cambria Math" w:hAnsi="Cambria Math"/>
                      <w:color w:val="515151" w:themeColor="text1"/>
                      <w:szCs w:val="20"/>
                    </w:rPr>
                    <m:t>EF</m:t>
                  </m:r>
                </m:e>
                <m:sub>
                  <m:r>
                    <w:rPr>
                      <w:rFonts w:ascii="Cambria Math" w:hAnsi="Cambria Math"/>
                      <w:color w:val="515151" w:themeColor="text1"/>
                      <w:szCs w:val="20"/>
                    </w:rPr>
                    <m:t>projected_fossilfuel</m:t>
                  </m:r>
                </m:sub>
              </m:sSub>
            </m:oMath>
            <w:r w:rsidRPr="002D6D9A">
              <w:rPr>
                <w:rFonts w:asciiTheme="minorHAnsi" w:hAnsiTheme="minorHAnsi"/>
                <w:color w:val="515151" w:themeColor="text1"/>
                <w:szCs w:val="20"/>
              </w:rPr>
              <w:t>)</w:t>
            </w:r>
          </w:p>
        </w:tc>
      </w:tr>
      <w:tr w:rsidR="002D6D9A" w:rsidRPr="00575488" w14:paraId="708D1DC0" w14:textId="77777777" w:rsidTr="002D6D9A">
        <w:tc>
          <w:tcPr>
            <w:tcW w:w="2743" w:type="dxa"/>
          </w:tcPr>
          <w:p w14:paraId="63A64627" w14:textId="69F2BF8A" w:rsidR="002D6D9A" w:rsidRPr="00824BF8" w:rsidRDefault="002D6D9A" w:rsidP="002D6D9A">
            <w:pPr>
              <w:pStyle w:val="SDMTableBoxParaNotNumbered"/>
              <w:rPr>
                <w:rFonts w:asciiTheme="minorHAnsi" w:hAnsiTheme="minorHAnsi"/>
                <w:color w:val="515151" w:themeColor="text1"/>
              </w:rPr>
            </w:pPr>
            <w:r w:rsidRPr="00824BF8">
              <w:rPr>
                <w:rFonts w:asciiTheme="minorHAnsi" w:hAnsiTheme="minorHAnsi"/>
                <w:color w:val="515151" w:themeColor="text1"/>
              </w:rPr>
              <w:t>Unit</w:t>
            </w:r>
          </w:p>
        </w:tc>
        <w:tc>
          <w:tcPr>
            <w:tcW w:w="7010" w:type="dxa"/>
          </w:tcPr>
          <w:p w14:paraId="7CDE2061" w14:textId="20AB01C1" w:rsidR="002D6D9A" w:rsidRPr="00824BF8" w:rsidRDefault="002D6D9A" w:rsidP="002D6D9A">
            <w:pPr>
              <w:pStyle w:val="Default"/>
              <w:rPr>
                <w:rFonts w:asciiTheme="minorHAnsi" w:hAnsiTheme="minorHAnsi"/>
                <w:color w:val="515151" w:themeColor="text1"/>
                <w:szCs w:val="20"/>
              </w:rPr>
            </w:pPr>
            <w:r w:rsidRPr="00824BF8">
              <w:rPr>
                <w:rFonts w:asciiTheme="minorHAnsi" w:hAnsiTheme="minorHAnsi"/>
                <w:color w:val="515151" w:themeColor="text1"/>
                <w:szCs w:val="20"/>
              </w:rPr>
              <w:t>tCO</w:t>
            </w:r>
            <w:r w:rsidRPr="00824BF8">
              <w:rPr>
                <w:rFonts w:asciiTheme="minorHAnsi" w:hAnsiTheme="minorHAnsi"/>
                <w:color w:val="515151" w:themeColor="text1"/>
                <w:szCs w:val="20"/>
                <w:vertAlign w:val="subscript"/>
              </w:rPr>
              <w:t>2</w:t>
            </w:r>
            <w:r w:rsidRPr="00824BF8">
              <w:rPr>
                <w:rFonts w:asciiTheme="minorHAnsi" w:hAnsiTheme="minorHAnsi"/>
                <w:color w:val="515151" w:themeColor="text1"/>
                <w:szCs w:val="20"/>
              </w:rPr>
              <w:t xml:space="preserve">/TJ </w:t>
            </w:r>
          </w:p>
        </w:tc>
      </w:tr>
      <w:tr w:rsidR="002D6D9A" w:rsidRPr="00575488" w14:paraId="61260339" w14:textId="77777777" w:rsidTr="002D6D9A">
        <w:tc>
          <w:tcPr>
            <w:tcW w:w="2743" w:type="dxa"/>
          </w:tcPr>
          <w:p w14:paraId="7F417421" w14:textId="77777777" w:rsidR="002D6D9A" w:rsidRPr="00824BF8" w:rsidRDefault="002D6D9A" w:rsidP="002D6D9A">
            <w:pPr>
              <w:pStyle w:val="SDMTableBoxParaNotNumbered"/>
              <w:rPr>
                <w:rFonts w:asciiTheme="minorHAnsi" w:hAnsiTheme="minorHAnsi"/>
                <w:color w:val="515151" w:themeColor="text1"/>
              </w:rPr>
            </w:pPr>
            <w:r w:rsidRPr="00824BF8">
              <w:rPr>
                <w:rFonts w:asciiTheme="minorHAnsi" w:hAnsiTheme="minorHAnsi"/>
                <w:color w:val="515151" w:themeColor="text1"/>
              </w:rPr>
              <w:t>Description</w:t>
            </w:r>
          </w:p>
        </w:tc>
        <w:tc>
          <w:tcPr>
            <w:tcW w:w="7010" w:type="dxa"/>
          </w:tcPr>
          <w:p w14:paraId="0D110629" w14:textId="77777777" w:rsidR="002D6D9A" w:rsidRPr="00824BF8" w:rsidRDefault="002D6D9A" w:rsidP="002D6D9A">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Emission factor for substitution of non-renewable woody biomass by similar consumers. </w:t>
            </w:r>
          </w:p>
        </w:tc>
      </w:tr>
      <w:tr w:rsidR="002D6D9A" w:rsidRPr="00575488" w14:paraId="1AAD6AF1" w14:textId="77777777" w:rsidTr="002D6D9A">
        <w:tc>
          <w:tcPr>
            <w:tcW w:w="2743" w:type="dxa"/>
          </w:tcPr>
          <w:p w14:paraId="0A56819E" w14:textId="77777777" w:rsidR="002D6D9A" w:rsidRPr="00824BF8" w:rsidRDefault="002D6D9A" w:rsidP="002D6D9A">
            <w:pPr>
              <w:pStyle w:val="SDMTableBoxParaNotNumbered"/>
              <w:rPr>
                <w:rFonts w:asciiTheme="minorHAnsi" w:hAnsiTheme="minorHAnsi"/>
                <w:color w:val="515151" w:themeColor="text1"/>
              </w:rPr>
            </w:pPr>
            <w:r w:rsidRPr="00824BF8">
              <w:rPr>
                <w:rFonts w:asciiTheme="minorHAnsi" w:hAnsiTheme="minorHAnsi"/>
                <w:color w:val="515151" w:themeColor="text1"/>
              </w:rPr>
              <w:t>Source of data</w:t>
            </w:r>
          </w:p>
        </w:tc>
        <w:tc>
          <w:tcPr>
            <w:tcW w:w="7010" w:type="dxa"/>
          </w:tcPr>
          <w:p w14:paraId="33B7510F" w14:textId="77777777" w:rsidR="002D6D9A" w:rsidRPr="00824BF8" w:rsidRDefault="002D6D9A" w:rsidP="002D6D9A">
            <w:pPr>
              <w:pStyle w:val="Default"/>
              <w:rPr>
                <w:rFonts w:asciiTheme="minorHAnsi" w:hAnsiTheme="minorHAnsi"/>
                <w:color w:val="515151" w:themeColor="text1"/>
                <w:szCs w:val="20"/>
              </w:rPr>
            </w:pPr>
            <w:r w:rsidRPr="00824BF8">
              <w:rPr>
                <w:rFonts w:asciiTheme="minorHAnsi" w:hAnsiTheme="minorHAnsi"/>
                <w:color w:val="515151" w:themeColor="text1"/>
                <w:szCs w:val="20"/>
              </w:rPr>
              <w:t>AMS I.E., ver. 4 (default value)</w:t>
            </w:r>
          </w:p>
        </w:tc>
      </w:tr>
      <w:tr w:rsidR="002D6D9A" w:rsidRPr="00575488" w14:paraId="5FAA5109" w14:textId="77777777" w:rsidTr="002D6D9A">
        <w:tc>
          <w:tcPr>
            <w:tcW w:w="2743" w:type="dxa"/>
          </w:tcPr>
          <w:p w14:paraId="09EC65C3" w14:textId="77777777" w:rsidR="002D6D9A" w:rsidRPr="00824BF8" w:rsidRDefault="002D6D9A" w:rsidP="002D6D9A">
            <w:pPr>
              <w:pStyle w:val="SDMTableBoxParaNotNumbered"/>
              <w:rPr>
                <w:rFonts w:asciiTheme="minorHAnsi" w:hAnsiTheme="minorHAnsi"/>
                <w:color w:val="515151" w:themeColor="text1"/>
              </w:rPr>
            </w:pPr>
            <w:r w:rsidRPr="00824BF8">
              <w:rPr>
                <w:rFonts w:asciiTheme="minorHAnsi" w:hAnsiTheme="minorHAnsi"/>
                <w:color w:val="515151" w:themeColor="text1"/>
              </w:rPr>
              <w:t>Value(s) applied</w:t>
            </w:r>
          </w:p>
        </w:tc>
        <w:tc>
          <w:tcPr>
            <w:tcW w:w="7010" w:type="dxa"/>
          </w:tcPr>
          <w:p w14:paraId="4D08A4E2" w14:textId="77777777" w:rsidR="002D6D9A" w:rsidRPr="00824BF8" w:rsidRDefault="002D6D9A" w:rsidP="002D6D9A">
            <w:pPr>
              <w:pStyle w:val="Default"/>
              <w:rPr>
                <w:rFonts w:asciiTheme="minorHAnsi" w:hAnsiTheme="minorHAnsi"/>
                <w:color w:val="515151" w:themeColor="text1"/>
                <w:szCs w:val="20"/>
              </w:rPr>
            </w:pPr>
            <w:r w:rsidRPr="00824BF8">
              <w:rPr>
                <w:rFonts w:asciiTheme="minorHAnsi" w:hAnsiTheme="minorHAnsi"/>
                <w:color w:val="515151" w:themeColor="text1"/>
                <w:szCs w:val="20"/>
              </w:rPr>
              <w:t>81.6</w:t>
            </w:r>
          </w:p>
        </w:tc>
      </w:tr>
      <w:tr w:rsidR="002D6D9A" w:rsidRPr="00575488" w14:paraId="10437A8C" w14:textId="77777777" w:rsidTr="002D6D9A">
        <w:tc>
          <w:tcPr>
            <w:tcW w:w="2743" w:type="dxa"/>
          </w:tcPr>
          <w:p w14:paraId="23F3A56E" w14:textId="77777777" w:rsidR="002D6D9A" w:rsidRPr="00824BF8" w:rsidRDefault="002D6D9A" w:rsidP="002D6D9A">
            <w:pPr>
              <w:pStyle w:val="SDMTableBoxParaNotNumbered"/>
              <w:rPr>
                <w:rFonts w:asciiTheme="minorHAnsi" w:hAnsiTheme="minorHAnsi"/>
                <w:color w:val="515151" w:themeColor="text1"/>
              </w:rPr>
            </w:pPr>
            <w:r w:rsidRPr="00824BF8">
              <w:rPr>
                <w:rFonts w:asciiTheme="minorHAnsi" w:hAnsiTheme="minorHAnsi"/>
                <w:color w:val="515151" w:themeColor="text1"/>
              </w:rPr>
              <w:t xml:space="preserve">Choice of data </w:t>
            </w:r>
          </w:p>
          <w:p w14:paraId="551E3AA9" w14:textId="77777777" w:rsidR="002D6D9A" w:rsidRPr="00824BF8" w:rsidRDefault="002D6D9A" w:rsidP="002D6D9A">
            <w:pPr>
              <w:pStyle w:val="SDMTableBoxParaNotNumbered"/>
              <w:rPr>
                <w:rFonts w:asciiTheme="minorHAnsi" w:hAnsiTheme="minorHAnsi"/>
                <w:color w:val="515151" w:themeColor="text1"/>
              </w:rPr>
            </w:pPr>
            <w:r w:rsidRPr="00824BF8">
              <w:rPr>
                <w:rFonts w:asciiTheme="minorHAnsi" w:hAnsiTheme="minorHAnsi"/>
                <w:color w:val="515151" w:themeColor="text1"/>
              </w:rPr>
              <w:t>or measurement methods and procedures</w:t>
            </w:r>
          </w:p>
        </w:tc>
        <w:tc>
          <w:tcPr>
            <w:tcW w:w="7010" w:type="dxa"/>
          </w:tcPr>
          <w:p w14:paraId="03BD4D19" w14:textId="40F48E36" w:rsidR="002D6D9A" w:rsidRPr="00824BF8" w:rsidRDefault="002D6D9A" w:rsidP="002D6D9A">
            <w:pPr>
              <w:pStyle w:val="Default"/>
              <w:rPr>
                <w:rFonts w:asciiTheme="minorHAnsi" w:hAnsiTheme="minorHAnsi"/>
                <w:color w:val="515151" w:themeColor="text1"/>
                <w:szCs w:val="20"/>
              </w:rPr>
            </w:pPr>
            <w:r w:rsidRPr="00824BF8">
              <w:rPr>
                <w:rFonts w:asciiTheme="minorHAnsi" w:hAnsiTheme="minorHAnsi"/>
                <w:color w:val="515151" w:themeColor="text1"/>
                <w:szCs w:val="20"/>
              </w:rPr>
              <w:t>This is a default value as per AMS I.E., ver. 4, par.</w:t>
            </w:r>
            <w:r w:rsidR="00756C70">
              <w:rPr>
                <w:rFonts w:asciiTheme="minorHAnsi" w:hAnsiTheme="minorHAnsi"/>
                <w:color w:val="515151" w:themeColor="text1"/>
                <w:szCs w:val="20"/>
              </w:rPr>
              <w:t xml:space="preserve"> 5.</w:t>
            </w:r>
          </w:p>
        </w:tc>
      </w:tr>
      <w:tr w:rsidR="002D6D9A" w:rsidRPr="00575488" w14:paraId="4201B5F2" w14:textId="77777777" w:rsidTr="002D6D9A">
        <w:tc>
          <w:tcPr>
            <w:tcW w:w="2743" w:type="dxa"/>
          </w:tcPr>
          <w:p w14:paraId="07C104C2" w14:textId="77777777" w:rsidR="002D6D9A" w:rsidRPr="00824BF8" w:rsidRDefault="002D6D9A" w:rsidP="002D6D9A">
            <w:pPr>
              <w:pStyle w:val="SDMTableBoxParaNotNumbered"/>
              <w:keepNext/>
              <w:rPr>
                <w:rFonts w:asciiTheme="minorHAnsi" w:hAnsiTheme="minorHAnsi"/>
                <w:color w:val="515151" w:themeColor="text1"/>
              </w:rPr>
            </w:pPr>
            <w:r w:rsidRPr="00824BF8">
              <w:rPr>
                <w:rFonts w:asciiTheme="minorHAnsi" w:hAnsiTheme="minorHAnsi"/>
                <w:color w:val="515151" w:themeColor="text1"/>
              </w:rPr>
              <w:t>Purpose of data/parameter</w:t>
            </w:r>
          </w:p>
        </w:tc>
        <w:tc>
          <w:tcPr>
            <w:tcW w:w="7010" w:type="dxa"/>
          </w:tcPr>
          <w:p w14:paraId="12E04D49" w14:textId="276BDFE2" w:rsidR="002D6D9A" w:rsidRPr="00824BF8" w:rsidRDefault="00756C70" w:rsidP="002D6D9A">
            <w:pPr>
              <w:pStyle w:val="Default"/>
              <w:rPr>
                <w:rFonts w:asciiTheme="minorHAnsi" w:hAnsiTheme="minorHAnsi"/>
                <w:color w:val="515151" w:themeColor="text1"/>
                <w:szCs w:val="20"/>
              </w:rPr>
            </w:pPr>
            <w:r w:rsidRPr="00756C70">
              <w:rPr>
                <w:rFonts w:asciiTheme="minorHAnsi" w:hAnsiTheme="minorHAnsi"/>
                <w:color w:val="515151" w:themeColor="text1"/>
                <w:szCs w:val="20"/>
              </w:rPr>
              <w:t>Calculation of emission reductions.</w:t>
            </w:r>
            <w:r w:rsidR="002D6D9A" w:rsidRPr="00824BF8">
              <w:rPr>
                <w:rFonts w:asciiTheme="minorHAnsi" w:hAnsiTheme="minorHAnsi"/>
                <w:color w:val="515151" w:themeColor="text1"/>
                <w:szCs w:val="20"/>
              </w:rPr>
              <w:t>.</w:t>
            </w:r>
          </w:p>
        </w:tc>
      </w:tr>
      <w:tr w:rsidR="002D6D9A" w:rsidRPr="00575488" w14:paraId="074DD81B" w14:textId="77777777" w:rsidTr="002D6D9A">
        <w:tc>
          <w:tcPr>
            <w:tcW w:w="2743" w:type="dxa"/>
          </w:tcPr>
          <w:p w14:paraId="56ADE93E" w14:textId="77777777" w:rsidR="002D6D9A" w:rsidRPr="00824BF8" w:rsidRDefault="002D6D9A" w:rsidP="002D6D9A">
            <w:pPr>
              <w:pStyle w:val="SDMTableBoxParaNotNumbered"/>
              <w:rPr>
                <w:rFonts w:asciiTheme="minorHAnsi" w:hAnsiTheme="minorHAnsi"/>
                <w:color w:val="515151" w:themeColor="text1"/>
              </w:rPr>
            </w:pPr>
            <w:r w:rsidRPr="00824BF8">
              <w:rPr>
                <w:rFonts w:asciiTheme="minorHAnsi" w:hAnsiTheme="minorHAnsi"/>
                <w:color w:val="515151" w:themeColor="text1"/>
              </w:rPr>
              <w:t>Additional comments</w:t>
            </w:r>
          </w:p>
        </w:tc>
        <w:tc>
          <w:tcPr>
            <w:tcW w:w="7010" w:type="dxa"/>
          </w:tcPr>
          <w:p w14:paraId="68D9D1AD" w14:textId="77777777" w:rsidR="002D6D9A" w:rsidRPr="00824BF8" w:rsidRDefault="002D6D9A" w:rsidP="002D6D9A">
            <w:pPr>
              <w:pStyle w:val="Default"/>
              <w:rPr>
                <w:rFonts w:asciiTheme="minorHAnsi" w:hAnsiTheme="minorHAnsi"/>
                <w:color w:val="515151" w:themeColor="text1"/>
                <w:szCs w:val="20"/>
              </w:rPr>
            </w:pPr>
            <w:r w:rsidRPr="00824BF8">
              <w:rPr>
                <w:rFonts w:asciiTheme="minorHAnsi" w:hAnsiTheme="minorHAnsi"/>
                <w:color w:val="515151" w:themeColor="text1"/>
                <w:szCs w:val="20"/>
              </w:rPr>
              <w:t xml:space="preserve">This is a fixed value throughout the crediting period. </w:t>
            </w:r>
          </w:p>
        </w:tc>
      </w:tr>
    </w:tbl>
    <w:p w14:paraId="328F5D16" w14:textId="431F5BAD" w:rsidR="00816579" w:rsidRPr="003F407B" w:rsidRDefault="00816579" w:rsidP="00816579">
      <w:pPr>
        <w:rPr>
          <w:lang w:val="en-GB"/>
        </w:rPr>
      </w:pPr>
    </w:p>
    <w:p w14:paraId="159D6793" w14:textId="457F0D64" w:rsidR="00517334" w:rsidRDefault="00465B23" w:rsidP="00517334">
      <w:pPr>
        <w:pStyle w:val="Heading5"/>
      </w:pPr>
      <w:bookmarkStart w:id="29" w:name="_Ref418094911"/>
      <w:bookmarkStart w:id="30" w:name="_Toc40962777"/>
      <w:r>
        <w:t xml:space="preserve">D.2 </w:t>
      </w:r>
      <w:r w:rsidR="00816579" w:rsidRPr="00241108">
        <w:t>Data and parameters monitored</w:t>
      </w:r>
      <w:bookmarkEnd w:id="29"/>
      <w:bookmarkEnd w:id="30"/>
    </w:p>
    <w:p w14:paraId="36319670" w14:textId="77777777" w:rsidR="00517334" w:rsidRPr="00517334" w:rsidRDefault="00517334" w:rsidP="00517334"/>
    <w:tbl>
      <w:tblPr>
        <w:tblStyle w:val="GSBoldTable"/>
        <w:tblW w:w="9753" w:type="dxa"/>
        <w:tblLayout w:type="fixed"/>
        <w:tblLook w:val="01E0" w:firstRow="1" w:lastRow="1" w:firstColumn="1" w:lastColumn="1" w:noHBand="0" w:noVBand="0"/>
      </w:tblPr>
      <w:tblGrid>
        <w:gridCol w:w="2791"/>
        <w:gridCol w:w="6962"/>
      </w:tblGrid>
      <w:tr w:rsidR="00517334" w:rsidRPr="00575488" w14:paraId="36CE0CA9" w14:textId="77777777" w:rsidTr="00A55140">
        <w:trPr>
          <w:cnfStyle w:val="100000000000" w:firstRow="1" w:lastRow="0" w:firstColumn="0" w:lastColumn="0" w:oddVBand="0" w:evenVBand="0" w:oddHBand="0" w:evenHBand="0" w:firstRowFirstColumn="0" w:firstRowLastColumn="0" w:lastRowFirstColumn="0" w:lastRowLastColumn="0"/>
        </w:trPr>
        <w:tc>
          <w:tcPr>
            <w:tcW w:w="2791" w:type="dxa"/>
          </w:tcPr>
          <w:p w14:paraId="73B2880B" w14:textId="7078B64B" w:rsidR="00517334" w:rsidRPr="00824BF8" w:rsidRDefault="00ED460B" w:rsidP="00EF75ED">
            <w:pPr>
              <w:pStyle w:val="SDMTableBoxParaNotNumbered"/>
              <w:keepNext/>
              <w:keepLines/>
              <w:rPr>
                <w:rFonts w:asciiTheme="minorHAnsi" w:hAnsiTheme="minorHAnsi"/>
                <w:b/>
                <w:color w:val="FFFFFF" w:themeColor="background1"/>
              </w:rPr>
            </w:pPr>
            <w:r w:rsidRPr="00ED460B">
              <w:rPr>
                <w:rFonts w:asciiTheme="minorHAnsi" w:hAnsiTheme="minorHAnsi"/>
                <w:b/>
                <w:color w:val="FFFFFF" w:themeColor="background1"/>
              </w:rPr>
              <w:t>Relevant SDG Indicator/Safeguarding Principle</w:t>
            </w:r>
          </w:p>
        </w:tc>
        <w:tc>
          <w:tcPr>
            <w:tcW w:w="6962" w:type="dxa"/>
          </w:tcPr>
          <w:p w14:paraId="2ADFC860" w14:textId="77777777" w:rsidR="00ED460B" w:rsidRPr="00A55140" w:rsidRDefault="00ED460B" w:rsidP="00ED460B">
            <w:pPr>
              <w:pStyle w:val="SDMTableBoxParaNotNumbered"/>
              <w:keepNext/>
              <w:keepLines/>
              <w:rPr>
                <w:rFonts w:asciiTheme="minorHAnsi" w:eastAsiaTheme="minorHAnsi" w:hAnsiTheme="minorHAnsi" w:cs="Verdana"/>
                <w:b/>
                <w:bCs/>
                <w:iCs/>
                <w:color w:val="FFFFFF" w:themeColor="background1"/>
                <w:lang w:eastAsia="en-US"/>
              </w:rPr>
            </w:pPr>
            <w:r w:rsidRPr="00A55140">
              <w:rPr>
                <w:rFonts w:asciiTheme="minorHAnsi" w:eastAsiaTheme="minorHAnsi" w:hAnsiTheme="minorHAnsi" w:cs="Verdana"/>
                <w:b/>
                <w:bCs/>
                <w:iCs/>
                <w:color w:val="FFFFFF" w:themeColor="background1"/>
                <w:lang w:eastAsia="en-US"/>
              </w:rPr>
              <w:t>SDG 13, Target 13.2, Indicator 13.2.1</w:t>
            </w:r>
          </w:p>
          <w:p w14:paraId="2319FB65" w14:textId="40649BE0" w:rsidR="00517334" w:rsidRPr="00824BF8" w:rsidRDefault="00ED460B" w:rsidP="00ED460B">
            <w:pPr>
              <w:pStyle w:val="Default"/>
              <w:rPr>
                <w:rFonts w:asciiTheme="minorHAnsi" w:hAnsiTheme="minorHAnsi"/>
                <w:b/>
                <w:color w:val="FFFFFF" w:themeColor="background1"/>
                <w:szCs w:val="20"/>
              </w:rPr>
            </w:pPr>
            <w:r w:rsidRPr="00A55140">
              <w:rPr>
                <w:rFonts w:asciiTheme="minorHAnsi" w:hAnsiTheme="minorHAnsi"/>
                <w:b/>
                <w:bCs/>
                <w:iCs/>
                <w:color w:val="FFFFFF" w:themeColor="background1"/>
              </w:rPr>
              <w:t>SDG 17, Target 17.7, Indicator 17.7.1</w:t>
            </w:r>
          </w:p>
        </w:tc>
      </w:tr>
      <w:tr w:rsidR="008A3D04" w:rsidRPr="00575488" w14:paraId="6C7D41B7" w14:textId="77777777" w:rsidTr="00A55140">
        <w:tc>
          <w:tcPr>
            <w:tcW w:w="2791" w:type="dxa"/>
          </w:tcPr>
          <w:p w14:paraId="19C8875D" w14:textId="6EBCBDBC" w:rsidR="008A3D04" w:rsidRPr="00824BF8" w:rsidRDefault="008A3D04" w:rsidP="008A3D04">
            <w:pPr>
              <w:pStyle w:val="SDMTableBoxParaNotNumbered"/>
              <w:rPr>
                <w:rFonts w:asciiTheme="minorHAnsi" w:hAnsiTheme="minorHAnsi"/>
                <w:color w:val="515151" w:themeColor="text1"/>
              </w:rPr>
            </w:pPr>
            <w:r>
              <w:rPr>
                <w:rFonts w:asciiTheme="minorHAnsi" w:hAnsiTheme="minorHAnsi"/>
                <w:color w:val="515151" w:themeColor="text1"/>
              </w:rPr>
              <w:t>Data / Parameter</w:t>
            </w:r>
          </w:p>
        </w:tc>
        <w:tc>
          <w:tcPr>
            <w:tcW w:w="6962" w:type="dxa"/>
          </w:tcPr>
          <w:p w14:paraId="3CFDB7B4" w14:textId="3A287EDF" w:rsidR="008A3D04" w:rsidRPr="00824BF8" w:rsidRDefault="00E85DD5" w:rsidP="008A3D04">
            <w:pPr>
              <w:pStyle w:val="SDMTableBoxParaNotNumbered"/>
              <w:rPr>
                <w:rFonts w:asciiTheme="minorHAnsi" w:hAnsiTheme="minorHAnsi" w:cs="Arial"/>
                <w:color w:val="515151" w:themeColor="text1"/>
              </w:rPr>
            </w:pPr>
            <w:r>
              <w:rPr>
                <w:rFonts w:asciiTheme="minorHAnsi" w:hAnsiTheme="minorHAnsi"/>
                <w:color w:val="515151" w:themeColor="text1"/>
              </w:rPr>
              <w:t xml:space="preserve">Adjusted </w:t>
            </w:r>
            <w:r w:rsidR="008A3D04" w:rsidRPr="00ED460B">
              <w:rPr>
                <w:rFonts w:asciiTheme="minorHAnsi" w:hAnsiTheme="minorHAnsi"/>
                <w:color w:val="515151" w:themeColor="text1"/>
              </w:rPr>
              <w:t xml:space="preserve">Number </w:t>
            </w:r>
            <w:r w:rsidR="008A3D04">
              <w:rPr>
                <w:rFonts w:asciiTheme="minorHAnsi" w:hAnsiTheme="minorHAnsi"/>
                <w:color w:val="515151" w:themeColor="text1"/>
              </w:rPr>
              <w:t>of biogas units commissioned (</w:t>
            </w:r>
            <m:oMath>
              <m:sSub>
                <m:sSubPr>
                  <m:ctrlPr>
                    <w:rPr>
                      <w:rFonts w:ascii="Cambria Math" w:hAnsi="Cambria Math"/>
                      <w:i/>
                      <w:color w:val="515151" w:themeColor="text1"/>
                    </w:rPr>
                  </m:ctrlPr>
                </m:sSubPr>
                <m:e>
                  <m:r>
                    <w:rPr>
                      <w:rFonts w:ascii="Cambria Math" w:hAnsi="Cambria Math"/>
                      <w:color w:val="515151" w:themeColor="text1"/>
                    </w:rPr>
                    <m:t>N</m:t>
                  </m:r>
                </m:e>
                <m:sub>
                  <m:r>
                    <w:rPr>
                      <w:rFonts w:ascii="Cambria Math" w:hAnsi="Cambria Math"/>
                      <w:color w:val="515151" w:themeColor="text1"/>
                    </w:rPr>
                    <m:t>y</m:t>
                  </m:r>
                </m:sub>
              </m:sSub>
            </m:oMath>
            <w:r w:rsidR="008A3D04" w:rsidRPr="00ED460B">
              <w:rPr>
                <w:rFonts w:asciiTheme="minorHAnsi" w:hAnsiTheme="minorHAnsi"/>
                <w:color w:val="515151" w:themeColor="text1"/>
              </w:rPr>
              <w:t>)</w:t>
            </w:r>
          </w:p>
        </w:tc>
      </w:tr>
      <w:tr w:rsidR="008A3D04" w:rsidRPr="00575488" w14:paraId="383FB56B" w14:textId="77777777" w:rsidTr="00A55140">
        <w:tc>
          <w:tcPr>
            <w:tcW w:w="2791" w:type="dxa"/>
          </w:tcPr>
          <w:p w14:paraId="184082A6" w14:textId="14DC1B77" w:rsidR="008A3D04" w:rsidRPr="00824BF8" w:rsidRDefault="008A3D04" w:rsidP="008A3D04">
            <w:pPr>
              <w:pStyle w:val="SDMTableBoxParaNotNumbered"/>
              <w:rPr>
                <w:rFonts w:asciiTheme="minorHAnsi" w:hAnsiTheme="minorHAnsi"/>
                <w:color w:val="515151" w:themeColor="text1"/>
              </w:rPr>
            </w:pPr>
            <w:r>
              <w:rPr>
                <w:rFonts w:asciiTheme="minorHAnsi" w:hAnsiTheme="minorHAnsi"/>
                <w:color w:val="515151" w:themeColor="text1"/>
              </w:rPr>
              <w:t>Unit</w:t>
            </w:r>
          </w:p>
        </w:tc>
        <w:tc>
          <w:tcPr>
            <w:tcW w:w="6962" w:type="dxa"/>
          </w:tcPr>
          <w:p w14:paraId="7DE0E860" w14:textId="4E96693F" w:rsidR="008A3D04" w:rsidRPr="00824BF8" w:rsidRDefault="008A3D04" w:rsidP="008A3D04">
            <w:pPr>
              <w:pStyle w:val="SDMTableBoxParaNotNumbered"/>
              <w:rPr>
                <w:rFonts w:asciiTheme="minorHAnsi" w:hAnsiTheme="minorHAnsi" w:cs="Arial"/>
                <w:color w:val="515151" w:themeColor="text1"/>
              </w:rPr>
            </w:pPr>
            <w:r>
              <w:rPr>
                <w:rFonts w:asciiTheme="minorHAnsi" w:hAnsiTheme="minorHAnsi" w:cs="Arial"/>
                <w:color w:val="515151" w:themeColor="text1"/>
              </w:rPr>
              <w:t>Number</w:t>
            </w:r>
          </w:p>
        </w:tc>
      </w:tr>
      <w:tr w:rsidR="008A3D04" w:rsidRPr="00575488" w14:paraId="719968C2" w14:textId="77777777" w:rsidTr="00A55140">
        <w:tc>
          <w:tcPr>
            <w:tcW w:w="2791" w:type="dxa"/>
          </w:tcPr>
          <w:p w14:paraId="1C4EF4B5" w14:textId="77777777" w:rsidR="008A3D04" w:rsidRPr="00824BF8" w:rsidRDefault="008A3D04" w:rsidP="008A3D04">
            <w:pPr>
              <w:pStyle w:val="SDMTableBoxParaNotNumbered"/>
              <w:rPr>
                <w:rFonts w:asciiTheme="minorHAnsi" w:hAnsiTheme="minorHAnsi"/>
                <w:color w:val="515151" w:themeColor="text1"/>
              </w:rPr>
            </w:pPr>
            <w:r w:rsidRPr="00824BF8">
              <w:rPr>
                <w:rFonts w:asciiTheme="minorHAnsi" w:hAnsiTheme="minorHAnsi"/>
                <w:color w:val="515151" w:themeColor="text1"/>
              </w:rPr>
              <w:t>Description</w:t>
            </w:r>
          </w:p>
        </w:tc>
        <w:tc>
          <w:tcPr>
            <w:tcW w:w="6962" w:type="dxa"/>
          </w:tcPr>
          <w:p w14:paraId="1C0E7489" w14:textId="77777777" w:rsidR="008A3D04" w:rsidRPr="00824BF8" w:rsidRDefault="008A3D04" w:rsidP="008A3D04">
            <w:pPr>
              <w:pStyle w:val="Default"/>
              <w:rPr>
                <w:rFonts w:asciiTheme="minorHAnsi" w:hAnsiTheme="minorHAnsi"/>
                <w:color w:val="515151" w:themeColor="text1"/>
                <w:szCs w:val="20"/>
              </w:rPr>
            </w:pPr>
            <w:r w:rsidRPr="00824BF8">
              <w:rPr>
                <w:rFonts w:asciiTheme="minorHAnsi" w:hAnsiTheme="minorHAnsi"/>
                <w:color w:val="515151" w:themeColor="text1"/>
                <w:szCs w:val="20"/>
              </w:rPr>
              <w:t>Adjusted total number of biogas units deployed until monitoring period y of end users who confirmed that non-renewable biomass is displaced/ substituted.</w:t>
            </w:r>
          </w:p>
        </w:tc>
      </w:tr>
      <w:tr w:rsidR="008A3D04" w:rsidRPr="00575488" w14:paraId="29DCE49B" w14:textId="77777777" w:rsidTr="00A55140">
        <w:tc>
          <w:tcPr>
            <w:tcW w:w="2791" w:type="dxa"/>
          </w:tcPr>
          <w:p w14:paraId="5424E7B9" w14:textId="77777777" w:rsidR="008A3D04" w:rsidRPr="00824BF8" w:rsidRDefault="008A3D04" w:rsidP="008A3D04">
            <w:pPr>
              <w:pStyle w:val="SDMTableBoxParaNotNumbered"/>
              <w:rPr>
                <w:rFonts w:asciiTheme="minorHAnsi" w:hAnsiTheme="minorHAnsi"/>
                <w:color w:val="515151" w:themeColor="text1"/>
              </w:rPr>
            </w:pPr>
            <w:r w:rsidRPr="00824BF8">
              <w:rPr>
                <w:rFonts w:asciiTheme="minorHAnsi" w:hAnsiTheme="minorHAnsi"/>
                <w:color w:val="515151" w:themeColor="text1"/>
              </w:rPr>
              <w:t>Source of data</w:t>
            </w:r>
          </w:p>
        </w:tc>
        <w:tc>
          <w:tcPr>
            <w:tcW w:w="6962" w:type="dxa"/>
          </w:tcPr>
          <w:p w14:paraId="26DA9041" w14:textId="7BDAD11C" w:rsidR="008A3D04" w:rsidRPr="00824BF8" w:rsidRDefault="008A3D04" w:rsidP="00DC2AFC">
            <w:pPr>
              <w:pStyle w:val="Default"/>
              <w:rPr>
                <w:rFonts w:asciiTheme="minorHAnsi" w:hAnsiTheme="minorHAnsi"/>
                <w:color w:val="515151" w:themeColor="text1"/>
                <w:szCs w:val="20"/>
              </w:rPr>
            </w:pPr>
            <w:r w:rsidRPr="001F5A51">
              <w:rPr>
                <w:rFonts w:asciiTheme="minorHAnsi" w:hAnsiTheme="minorHAnsi"/>
                <w:color w:val="515151" w:themeColor="text1"/>
                <w:szCs w:val="20"/>
              </w:rPr>
              <w:t>End user agreements. In the end user agree</w:t>
            </w:r>
            <w:r>
              <w:rPr>
                <w:rFonts w:asciiTheme="minorHAnsi" w:hAnsiTheme="minorHAnsi"/>
                <w:color w:val="515151" w:themeColor="text1"/>
                <w:szCs w:val="20"/>
              </w:rPr>
              <w:t xml:space="preserve">ment, end users also confirm to </w:t>
            </w:r>
            <w:r w:rsidRPr="001F5A51">
              <w:rPr>
                <w:rFonts w:asciiTheme="minorHAnsi" w:hAnsiTheme="minorHAnsi"/>
                <w:color w:val="515151" w:themeColor="text1"/>
                <w:szCs w:val="20"/>
              </w:rPr>
              <w:t xml:space="preserve">substitute/displace non-renewable biomass. </w:t>
            </w:r>
          </w:p>
        </w:tc>
      </w:tr>
      <w:tr w:rsidR="008A3D04" w:rsidRPr="00575488" w14:paraId="7C188501" w14:textId="77777777" w:rsidTr="001F5A51">
        <w:tc>
          <w:tcPr>
            <w:tcW w:w="2791" w:type="dxa"/>
          </w:tcPr>
          <w:p w14:paraId="1E616F45" w14:textId="3B4285DB" w:rsidR="008A3D04" w:rsidRPr="00824BF8" w:rsidRDefault="008A3D04" w:rsidP="008A3D04">
            <w:pPr>
              <w:pStyle w:val="SDMTableBoxParaNotNumbered"/>
              <w:rPr>
                <w:rFonts w:asciiTheme="minorHAnsi" w:hAnsiTheme="minorHAnsi"/>
                <w:color w:val="515151" w:themeColor="text1"/>
              </w:rPr>
            </w:pPr>
            <w:r>
              <w:rPr>
                <w:rFonts w:asciiTheme="minorHAnsi" w:hAnsiTheme="minorHAnsi"/>
                <w:color w:val="515151" w:themeColor="text1"/>
              </w:rPr>
              <w:t>Value(s) applied</w:t>
            </w:r>
          </w:p>
        </w:tc>
        <w:tc>
          <w:tcPr>
            <w:tcW w:w="6962" w:type="dxa"/>
          </w:tcPr>
          <w:p w14:paraId="1AF675F9" w14:textId="58E32341" w:rsidR="008A3D04" w:rsidRPr="001F5A51" w:rsidRDefault="00FF3A89" w:rsidP="008A3D04">
            <w:pPr>
              <w:pStyle w:val="Default"/>
              <w:rPr>
                <w:rFonts w:asciiTheme="minorHAnsi" w:hAnsiTheme="minorHAnsi"/>
                <w:color w:val="515151" w:themeColor="text1"/>
                <w:szCs w:val="20"/>
              </w:rPr>
            </w:pPr>
            <w:r>
              <w:rPr>
                <w:rFonts w:asciiTheme="minorHAnsi" w:hAnsiTheme="minorHAnsi"/>
                <w:color w:val="515151" w:themeColor="text1"/>
                <w:szCs w:val="20"/>
              </w:rPr>
              <w:t>740</w:t>
            </w:r>
          </w:p>
        </w:tc>
      </w:tr>
      <w:tr w:rsidR="008A3D04" w:rsidRPr="00575488" w14:paraId="73987928" w14:textId="77777777" w:rsidTr="00A55140">
        <w:tc>
          <w:tcPr>
            <w:tcW w:w="2791" w:type="dxa"/>
          </w:tcPr>
          <w:p w14:paraId="1A3AE3BB" w14:textId="1BB27014" w:rsidR="008A3D04" w:rsidRPr="00824BF8" w:rsidRDefault="008A3D04" w:rsidP="008A3D04">
            <w:pPr>
              <w:pStyle w:val="SDMTableBoxParaNotNumbered"/>
              <w:rPr>
                <w:rFonts w:asciiTheme="minorHAnsi" w:hAnsiTheme="minorHAnsi"/>
                <w:color w:val="515151" w:themeColor="text1"/>
              </w:rPr>
            </w:pPr>
            <w:r w:rsidRPr="00047217">
              <w:rPr>
                <w:rFonts w:asciiTheme="minorHAnsi" w:hAnsiTheme="minorHAnsi"/>
                <w:color w:val="515151" w:themeColor="text1"/>
              </w:rPr>
              <w:t>Measurement methods and procedures</w:t>
            </w:r>
          </w:p>
        </w:tc>
        <w:tc>
          <w:tcPr>
            <w:tcW w:w="6962" w:type="dxa"/>
          </w:tcPr>
          <w:p w14:paraId="603F331B" w14:textId="514956BA" w:rsidR="008A3D04" w:rsidRPr="00824BF8" w:rsidRDefault="008A3D04" w:rsidP="008A3D04">
            <w:pPr>
              <w:pStyle w:val="SDMTableBoxParaNotNumbered"/>
              <w:rPr>
                <w:rFonts w:asciiTheme="minorHAnsi" w:hAnsiTheme="minorHAnsi" w:cs="Arial"/>
                <w:color w:val="515151" w:themeColor="text1"/>
              </w:rPr>
            </w:pPr>
            <w:r w:rsidRPr="00047217">
              <w:rPr>
                <w:rFonts w:asciiTheme="minorHAnsi" w:hAnsiTheme="minorHAnsi" w:cs="Arial"/>
                <w:color w:val="515151" w:themeColor="text1"/>
              </w:rPr>
              <w:t xml:space="preserve">The total number of units commissioned until </w:t>
            </w:r>
            <w:r>
              <w:rPr>
                <w:rFonts w:asciiTheme="minorHAnsi" w:hAnsiTheme="minorHAnsi" w:cs="Arial"/>
                <w:color w:val="515151" w:themeColor="text1"/>
              </w:rPr>
              <w:t xml:space="preserve">period y is calculated from the </w:t>
            </w:r>
            <w:r w:rsidRPr="00047217">
              <w:rPr>
                <w:rFonts w:asciiTheme="minorHAnsi" w:hAnsiTheme="minorHAnsi" w:cs="Arial"/>
                <w:color w:val="515151" w:themeColor="text1"/>
              </w:rPr>
              <w:t>end user agreements where owner and location of the biogas unit are stated according to the equation</w:t>
            </w:r>
            <w:r w:rsidR="004E0EAB">
              <w:rPr>
                <w:rFonts w:asciiTheme="minorHAnsi" w:hAnsiTheme="minorHAnsi" w:cs="Arial"/>
                <w:color w:val="515151" w:themeColor="text1"/>
              </w:rPr>
              <w:t xml:space="preserve"> provided in the registered PDD</w:t>
            </w:r>
            <w:r>
              <w:rPr>
                <w:rFonts w:asciiTheme="minorHAnsi" w:hAnsiTheme="minorHAnsi" w:cs="Arial"/>
                <w:color w:val="515151" w:themeColor="text1"/>
              </w:rPr>
              <w:t>.</w:t>
            </w:r>
          </w:p>
        </w:tc>
      </w:tr>
      <w:tr w:rsidR="008A3D04" w:rsidRPr="00575488" w14:paraId="28A63C94" w14:textId="77777777" w:rsidTr="00A55140">
        <w:tc>
          <w:tcPr>
            <w:tcW w:w="2791" w:type="dxa"/>
          </w:tcPr>
          <w:p w14:paraId="3B6CF861" w14:textId="05910640" w:rsidR="008A3D04" w:rsidRPr="00824BF8" w:rsidRDefault="008A3D04" w:rsidP="008A3D04">
            <w:pPr>
              <w:pStyle w:val="SDMTableBoxParaNotNumbered"/>
              <w:keepNext/>
              <w:rPr>
                <w:rFonts w:asciiTheme="minorHAnsi" w:hAnsiTheme="minorHAnsi"/>
                <w:color w:val="515151" w:themeColor="text1"/>
              </w:rPr>
            </w:pPr>
            <w:r w:rsidRPr="00047217">
              <w:rPr>
                <w:rFonts w:asciiTheme="minorHAnsi" w:hAnsiTheme="minorHAnsi"/>
                <w:color w:val="515151" w:themeColor="text1"/>
              </w:rPr>
              <w:t>Monitoring frequency</w:t>
            </w:r>
          </w:p>
        </w:tc>
        <w:tc>
          <w:tcPr>
            <w:tcW w:w="6962" w:type="dxa"/>
          </w:tcPr>
          <w:p w14:paraId="5E817D06" w14:textId="27A96F36" w:rsidR="008A3D04" w:rsidRPr="00824BF8" w:rsidRDefault="008A3D04" w:rsidP="008A3D04">
            <w:pPr>
              <w:pStyle w:val="SDMTableBoxParaNotNumbered"/>
              <w:keepNext/>
              <w:rPr>
                <w:rFonts w:asciiTheme="minorHAnsi" w:hAnsiTheme="minorHAnsi" w:cs="Arial"/>
                <w:color w:val="515151" w:themeColor="text1"/>
              </w:rPr>
            </w:pPr>
            <w:r w:rsidRPr="00047217">
              <w:rPr>
                <w:rFonts w:asciiTheme="minorHAnsi" w:hAnsiTheme="minorHAnsi" w:cs="Arial"/>
                <w:color w:val="515151" w:themeColor="text1"/>
              </w:rPr>
              <w:t>Data is collected continuously</w:t>
            </w:r>
          </w:p>
        </w:tc>
      </w:tr>
      <w:tr w:rsidR="008A3D04" w:rsidRPr="00575488" w14:paraId="5964B59E" w14:textId="77777777" w:rsidTr="00A55140">
        <w:tc>
          <w:tcPr>
            <w:tcW w:w="2791" w:type="dxa"/>
          </w:tcPr>
          <w:p w14:paraId="0C6EB4BD" w14:textId="77777777" w:rsidR="008A3D04" w:rsidRPr="00824BF8" w:rsidRDefault="008A3D04" w:rsidP="008A3D04">
            <w:pPr>
              <w:pStyle w:val="SDMTableBoxParaNotNumbered"/>
              <w:rPr>
                <w:rFonts w:asciiTheme="minorHAnsi" w:hAnsiTheme="minorHAnsi"/>
                <w:color w:val="515151" w:themeColor="text1"/>
              </w:rPr>
            </w:pPr>
            <w:r w:rsidRPr="00824BF8">
              <w:rPr>
                <w:rFonts w:asciiTheme="minorHAnsi" w:hAnsiTheme="minorHAnsi"/>
                <w:color w:val="515151" w:themeColor="text1"/>
              </w:rPr>
              <w:t>Measuring/reading/recording frequency</w:t>
            </w:r>
          </w:p>
        </w:tc>
        <w:tc>
          <w:tcPr>
            <w:tcW w:w="6962" w:type="dxa"/>
          </w:tcPr>
          <w:p w14:paraId="0E186844" w14:textId="77777777" w:rsidR="008A3D04" w:rsidRPr="00824BF8" w:rsidRDefault="008A3D04" w:rsidP="008A3D04">
            <w:pPr>
              <w:pStyle w:val="SDMTableBoxParaNotNumbered"/>
              <w:rPr>
                <w:rFonts w:asciiTheme="minorHAnsi" w:hAnsiTheme="minorHAnsi" w:cs="Arial"/>
                <w:color w:val="515151" w:themeColor="text1"/>
              </w:rPr>
            </w:pPr>
            <w:r w:rsidRPr="00824BF8">
              <w:rPr>
                <w:rFonts w:asciiTheme="minorHAnsi" w:hAnsiTheme="minorHAnsi" w:cs="Arial"/>
                <w:color w:val="515151" w:themeColor="text1"/>
              </w:rPr>
              <w:t>Continuous monitoring and recording of N</w:t>
            </w:r>
            <w:r w:rsidRPr="00824BF8">
              <w:rPr>
                <w:rFonts w:asciiTheme="minorHAnsi" w:hAnsiTheme="minorHAnsi" w:cs="Arial"/>
                <w:color w:val="515151" w:themeColor="text1"/>
                <w:vertAlign w:val="subscript"/>
              </w:rPr>
              <w:t>i</w:t>
            </w:r>
          </w:p>
        </w:tc>
      </w:tr>
      <w:tr w:rsidR="008A3D04" w:rsidRPr="00575488" w14:paraId="4FFEA51C" w14:textId="77777777" w:rsidTr="00A55140">
        <w:tc>
          <w:tcPr>
            <w:tcW w:w="2791" w:type="dxa"/>
          </w:tcPr>
          <w:p w14:paraId="74FFDE72" w14:textId="77777777" w:rsidR="008A3D04" w:rsidRPr="00824BF8" w:rsidRDefault="008A3D04" w:rsidP="008A3D04">
            <w:pPr>
              <w:pStyle w:val="SDMTableBoxParaNotNumbered"/>
              <w:rPr>
                <w:rFonts w:asciiTheme="minorHAnsi" w:hAnsiTheme="minorHAnsi"/>
                <w:color w:val="515151" w:themeColor="text1"/>
              </w:rPr>
            </w:pPr>
            <w:r w:rsidRPr="00824BF8">
              <w:rPr>
                <w:rFonts w:asciiTheme="minorHAnsi" w:hAnsiTheme="minorHAnsi"/>
                <w:color w:val="515151" w:themeColor="text1"/>
              </w:rPr>
              <w:t>QA/QC procedures</w:t>
            </w:r>
          </w:p>
        </w:tc>
        <w:tc>
          <w:tcPr>
            <w:tcW w:w="6962" w:type="dxa"/>
          </w:tcPr>
          <w:p w14:paraId="1705AE5B" w14:textId="77777777" w:rsidR="008A3D04" w:rsidRPr="00824BF8" w:rsidRDefault="008A3D04" w:rsidP="008A3D04">
            <w:pPr>
              <w:pStyle w:val="Default"/>
              <w:rPr>
                <w:color w:val="515151" w:themeColor="text1"/>
                <w:szCs w:val="20"/>
              </w:rPr>
            </w:pPr>
            <w:r w:rsidRPr="00824BF8">
              <w:rPr>
                <w:color w:val="515151" w:themeColor="text1"/>
                <w:szCs w:val="20"/>
              </w:rPr>
              <w:t>Data is collected using the standard procedures as described in an internal Monitoring Manual and is stored for the crediting period and an additional two years.</w:t>
            </w:r>
          </w:p>
        </w:tc>
      </w:tr>
      <w:tr w:rsidR="008A3D04" w:rsidRPr="00575488" w14:paraId="3EA2C4DC" w14:textId="77777777" w:rsidTr="00A55140">
        <w:tc>
          <w:tcPr>
            <w:tcW w:w="2791" w:type="dxa"/>
          </w:tcPr>
          <w:p w14:paraId="77110B05" w14:textId="77777777" w:rsidR="008A3D04" w:rsidRPr="00824BF8" w:rsidRDefault="008A3D04" w:rsidP="008A3D04">
            <w:pPr>
              <w:pStyle w:val="SDMTableBoxParaNotNumbered"/>
              <w:rPr>
                <w:rFonts w:asciiTheme="minorHAnsi" w:hAnsiTheme="minorHAnsi"/>
                <w:color w:val="515151" w:themeColor="text1"/>
              </w:rPr>
            </w:pPr>
            <w:r w:rsidRPr="00824BF8">
              <w:rPr>
                <w:rFonts w:asciiTheme="minorHAnsi" w:hAnsiTheme="minorHAnsi"/>
                <w:color w:val="515151" w:themeColor="text1"/>
              </w:rPr>
              <w:t>Purpose of data/parameter</w:t>
            </w:r>
          </w:p>
        </w:tc>
        <w:tc>
          <w:tcPr>
            <w:tcW w:w="6962" w:type="dxa"/>
          </w:tcPr>
          <w:p w14:paraId="63E0B593" w14:textId="2A1C39AB" w:rsidR="008A3D04" w:rsidRPr="00824BF8" w:rsidRDefault="008A3D04" w:rsidP="008A3D04">
            <w:pPr>
              <w:pStyle w:val="SDMTableBoxParaNotNumbered"/>
              <w:rPr>
                <w:rFonts w:asciiTheme="minorHAnsi" w:hAnsiTheme="minorHAnsi" w:cs="Arial"/>
                <w:color w:val="515151" w:themeColor="text1"/>
              </w:rPr>
            </w:pPr>
            <w:r w:rsidRPr="00E92842">
              <w:rPr>
                <w:rFonts w:asciiTheme="minorHAnsi" w:hAnsiTheme="minorHAnsi" w:cs="Arial"/>
                <w:color w:val="515151" w:themeColor="text1"/>
              </w:rPr>
              <w:t>Calculation of emission reductions</w:t>
            </w:r>
          </w:p>
        </w:tc>
      </w:tr>
      <w:tr w:rsidR="008A3D04" w:rsidRPr="00575488" w14:paraId="32ED947E" w14:textId="77777777" w:rsidTr="00A55140">
        <w:tc>
          <w:tcPr>
            <w:tcW w:w="2791" w:type="dxa"/>
          </w:tcPr>
          <w:p w14:paraId="0566FA73" w14:textId="77777777" w:rsidR="008A3D04" w:rsidRPr="00824BF8" w:rsidRDefault="008A3D04" w:rsidP="008A3D04">
            <w:pPr>
              <w:pStyle w:val="SDMTableBoxParaNotNumbered"/>
              <w:rPr>
                <w:rFonts w:asciiTheme="minorHAnsi" w:hAnsiTheme="minorHAnsi"/>
                <w:color w:val="515151" w:themeColor="text1"/>
              </w:rPr>
            </w:pPr>
            <w:r w:rsidRPr="00824BF8">
              <w:rPr>
                <w:rFonts w:asciiTheme="minorHAnsi" w:hAnsiTheme="minorHAnsi"/>
                <w:color w:val="515151" w:themeColor="text1"/>
              </w:rPr>
              <w:t>Additional comments</w:t>
            </w:r>
          </w:p>
        </w:tc>
        <w:tc>
          <w:tcPr>
            <w:tcW w:w="6962" w:type="dxa"/>
          </w:tcPr>
          <w:p w14:paraId="5AA2CF0A" w14:textId="77777777" w:rsidR="008A3D04" w:rsidRPr="00824BF8" w:rsidRDefault="008A3D04" w:rsidP="008A3D04">
            <w:pPr>
              <w:pStyle w:val="SDMTableBoxParaNotNumbered"/>
              <w:rPr>
                <w:rFonts w:asciiTheme="minorHAnsi" w:hAnsiTheme="minorHAnsi"/>
                <w:color w:val="515151" w:themeColor="text1"/>
              </w:rPr>
            </w:pPr>
            <w:r w:rsidRPr="00824BF8">
              <w:rPr>
                <w:rFonts w:asciiTheme="minorHAnsi" w:hAnsiTheme="minorHAnsi"/>
                <w:color w:val="515151" w:themeColor="text1"/>
              </w:rPr>
              <w:t>n/a</w:t>
            </w:r>
          </w:p>
        </w:tc>
      </w:tr>
    </w:tbl>
    <w:p w14:paraId="5F6661CA" w14:textId="77777777" w:rsidR="00517334" w:rsidRDefault="00517334" w:rsidP="00517334">
      <w:pPr>
        <w:pStyle w:val="SDMPDDPoASubSection1"/>
        <w:tabs>
          <w:tab w:val="clear" w:pos="1474"/>
          <w:tab w:val="left" w:pos="709"/>
        </w:tabs>
      </w:pPr>
    </w:p>
    <w:tbl>
      <w:tblPr>
        <w:tblStyle w:val="GSTableBoldline-heightcondensed"/>
        <w:tblW w:w="9781" w:type="dxa"/>
        <w:tblLayout w:type="fixed"/>
        <w:tblLook w:val="01E0" w:firstRow="1" w:lastRow="1" w:firstColumn="1" w:lastColumn="1" w:noHBand="0" w:noVBand="0"/>
      </w:tblPr>
      <w:tblGrid>
        <w:gridCol w:w="2775"/>
        <w:gridCol w:w="6978"/>
        <w:gridCol w:w="28"/>
      </w:tblGrid>
      <w:tr w:rsidR="00517334" w:rsidRPr="00575488" w14:paraId="30A2B10B" w14:textId="77777777" w:rsidTr="00AA6E51">
        <w:trPr>
          <w:cnfStyle w:val="100000000000" w:firstRow="1" w:lastRow="0" w:firstColumn="0" w:lastColumn="0" w:oddVBand="0" w:evenVBand="0" w:oddHBand="0" w:evenHBand="0" w:firstRowFirstColumn="0" w:firstRowLastColumn="0" w:lastRowFirstColumn="0" w:lastRowLastColumn="0"/>
        </w:trPr>
        <w:tc>
          <w:tcPr>
            <w:tcW w:w="2775" w:type="dxa"/>
          </w:tcPr>
          <w:p w14:paraId="75C26F2D" w14:textId="17DD20CD" w:rsidR="00517334" w:rsidRPr="00A55140" w:rsidRDefault="00930659" w:rsidP="00EF75ED">
            <w:pPr>
              <w:pStyle w:val="SDMTableBoxParaNotNumbered"/>
              <w:keepNext/>
              <w:keepLines/>
              <w:rPr>
                <w:rFonts w:asciiTheme="minorHAnsi" w:hAnsiTheme="minorHAnsi"/>
                <w:color w:val="FFFFFF" w:themeColor="background1"/>
              </w:rPr>
            </w:pPr>
            <w:r w:rsidRPr="00A55140">
              <w:rPr>
                <w:rFonts w:asciiTheme="minorHAnsi" w:hAnsiTheme="minorHAnsi"/>
                <w:color w:val="FFFFFF" w:themeColor="background1"/>
              </w:rPr>
              <w:t>Relevant SDG Indicator/Safeguarding Principle</w:t>
            </w:r>
          </w:p>
        </w:tc>
        <w:tc>
          <w:tcPr>
            <w:tcW w:w="7006" w:type="dxa"/>
            <w:gridSpan w:val="2"/>
          </w:tcPr>
          <w:p w14:paraId="3F3007A9" w14:textId="4BB7DCB0" w:rsidR="00517334" w:rsidRPr="00930659" w:rsidRDefault="00930659" w:rsidP="00EF75ED">
            <w:pPr>
              <w:pStyle w:val="Default"/>
              <w:rPr>
                <w:color w:val="FFFFFF" w:themeColor="background1"/>
                <w:szCs w:val="20"/>
              </w:rPr>
            </w:pPr>
            <w:r w:rsidRPr="00A55140">
              <w:rPr>
                <w:bCs/>
                <w:iCs/>
                <w:color w:val="FFFFFF" w:themeColor="background1"/>
                <w:szCs w:val="20"/>
              </w:rPr>
              <w:t>SDG 13, Target 13.2, Indicator 13.2.1</w:t>
            </w:r>
          </w:p>
        </w:tc>
      </w:tr>
      <w:tr w:rsidR="00930659" w:rsidRPr="00575488" w14:paraId="1FA244EE" w14:textId="77777777" w:rsidTr="00AA6E51">
        <w:trPr>
          <w:gridAfter w:val="1"/>
          <w:wAfter w:w="28" w:type="dxa"/>
        </w:trPr>
        <w:tc>
          <w:tcPr>
            <w:tcW w:w="2775" w:type="dxa"/>
          </w:tcPr>
          <w:p w14:paraId="5DC6E783" w14:textId="6C5DB640" w:rsidR="00930659" w:rsidRPr="00824BF8" w:rsidRDefault="00930659" w:rsidP="00EF75ED">
            <w:pPr>
              <w:pStyle w:val="SDMTableBoxParaNotNumbered"/>
              <w:rPr>
                <w:rFonts w:asciiTheme="minorHAnsi" w:hAnsiTheme="minorHAnsi"/>
                <w:color w:val="515151" w:themeColor="text1"/>
              </w:rPr>
            </w:pPr>
            <w:r>
              <w:rPr>
                <w:rFonts w:asciiTheme="minorHAnsi" w:hAnsiTheme="minorHAnsi"/>
                <w:color w:val="515151" w:themeColor="text1"/>
              </w:rPr>
              <w:t>Data/Parameter</w:t>
            </w:r>
          </w:p>
        </w:tc>
        <w:tc>
          <w:tcPr>
            <w:tcW w:w="6978" w:type="dxa"/>
          </w:tcPr>
          <w:p w14:paraId="32AC8620" w14:textId="5D69E7C0" w:rsidR="00930659" w:rsidRPr="00930659" w:rsidRDefault="00930659" w:rsidP="00EF75ED">
            <w:pPr>
              <w:pStyle w:val="SDMTableBoxParaNotNumbered"/>
              <w:rPr>
                <w:rFonts w:asciiTheme="minorHAnsi" w:hAnsiTheme="minorHAnsi" w:cs="Arial"/>
                <w:color w:val="515151" w:themeColor="text1"/>
              </w:rPr>
            </w:pPr>
            <w:r>
              <w:rPr>
                <w:rFonts w:asciiTheme="minorHAnsi" w:hAnsiTheme="minorHAnsi"/>
                <w:color w:val="515151" w:themeColor="text1"/>
              </w:rPr>
              <w:t xml:space="preserve">Drop out rate </w:t>
            </w:r>
            <m:oMath>
              <m:sSub>
                <m:sSubPr>
                  <m:ctrlPr>
                    <w:rPr>
                      <w:rFonts w:ascii="Cambria Math" w:hAnsi="Cambria Math" w:cs="Arial"/>
                      <w:i/>
                      <w:color w:val="515151" w:themeColor="text1"/>
                    </w:rPr>
                  </m:ctrlPr>
                </m:sSubPr>
                <m:e>
                  <m:r>
                    <w:rPr>
                      <w:rFonts w:ascii="Cambria Math" w:hAnsi="Cambria Math" w:cs="Arial"/>
                      <w:color w:val="515151" w:themeColor="text1"/>
                    </w:rPr>
                    <m:t>DO</m:t>
                  </m:r>
                </m:e>
                <m:sub>
                  <m:r>
                    <w:rPr>
                      <w:rFonts w:ascii="Cambria Math" w:hAnsi="Cambria Math" w:cs="Arial"/>
                      <w:color w:val="515151" w:themeColor="text1"/>
                    </w:rPr>
                    <m:t>y</m:t>
                  </m:r>
                </m:sub>
              </m:sSub>
            </m:oMath>
            <w:r>
              <w:rPr>
                <w:rFonts w:asciiTheme="minorHAnsi" w:hAnsiTheme="minorHAnsi" w:cs="Arial"/>
                <w:color w:val="515151" w:themeColor="text1"/>
              </w:rPr>
              <w:t xml:space="preserve"> </w:t>
            </w:r>
          </w:p>
        </w:tc>
      </w:tr>
      <w:tr w:rsidR="00517334" w:rsidRPr="00575488" w14:paraId="561FA161" w14:textId="77777777" w:rsidTr="00AA6E51">
        <w:trPr>
          <w:gridAfter w:val="1"/>
          <w:wAfter w:w="28" w:type="dxa"/>
        </w:trPr>
        <w:tc>
          <w:tcPr>
            <w:tcW w:w="2775" w:type="dxa"/>
          </w:tcPr>
          <w:p w14:paraId="6C6EB3E2" w14:textId="77777777" w:rsidR="00517334" w:rsidRPr="00824BF8" w:rsidRDefault="00517334" w:rsidP="00EF75ED">
            <w:pPr>
              <w:pStyle w:val="SDMTableBoxParaNotNumbered"/>
              <w:rPr>
                <w:rFonts w:asciiTheme="minorHAnsi" w:hAnsiTheme="minorHAnsi"/>
                <w:color w:val="515151" w:themeColor="text1"/>
              </w:rPr>
            </w:pPr>
            <w:r w:rsidRPr="00824BF8">
              <w:rPr>
                <w:rFonts w:asciiTheme="minorHAnsi" w:hAnsiTheme="minorHAnsi"/>
                <w:color w:val="515151" w:themeColor="text1"/>
              </w:rPr>
              <w:t>Unit</w:t>
            </w:r>
          </w:p>
        </w:tc>
        <w:tc>
          <w:tcPr>
            <w:tcW w:w="6978" w:type="dxa"/>
          </w:tcPr>
          <w:p w14:paraId="6DF7CA7A" w14:textId="77777777" w:rsidR="00517334" w:rsidRPr="00824BF8" w:rsidRDefault="00517334" w:rsidP="00EF75ED">
            <w:pPr>
              <w:pStyle w:val="SDMTableBoxParaNotNumbered"/>
              <w:rPr>
                <w:rFonts w:asciiTheme="minorHAnsi" w:hAnsiTheme="minorHAnsi" w:cs="Arial"/>
                <w:color w:val="515151" w:themeColor="text1"/>
              </w:rPr>
            </w:pPr>
            <w:r w:rsidRPr="00824BF8">
              <w:rPr>
                <w:rFonts w:asciiTheme="minorHAnsi" w:hAnsiTheme="minorHAnsi" w:cs="Arial"/>
                <w:color w:val="515151" w:themeColor="text1"/>
              </w:rPr>
              <w:t>%</w:t>
            </w:r>
          </w:p>
        </w:tc>
      </w:tr>
      <w:tr w:rsidR="00517334" w:rsidRPr="00575488" w14:paraId="725E715E" w14:textId="77777777" w:rsidTr="00AA6E51">
        <w:trPr>
          <w:gridAfter w:val="1"/>
          <w:wAfter w:w="28" w:type="dxa"/>
        </w:trPr>
        <w:tc>
          <w:tcPr>
            <w:tcW w:w="2775" w:type="dxa"/>
          </w:tcPr>
          <w:p w14:paraId="167EF835" w14:textId="77777777" w:rsidR="00517334" w:rsidRPr="00824BF8" w:rsidRDefault="00517334" w:rsidP="00EF75ED">
            <w:pPr>
              <w:pStyle w:val="SDMTableBoxParaNotNumbered"/>
              <w:rPr>
                <w:rFonts w:asciiTheme="minorHAnsi" w:hAnsiTheme="minorHAnsi"/>
                <w:color w:val="515151" w:themeColor="text1"/>
              </w:rPr>
            </w:pPr>
            <w:r w:rsidRPr="00824BF8">
              <w:rPr>
                <w:rFonts w:asciiTheme="minorHAnsi" w:hAnsiTheme="minorHAnsi"/>
                <w:color w:val="515151" w:themeColor="text1"/>
              </w:rPr>
              <w:t>Description</w:t>
            </w:r>
          </w:p>
        </w:tc>
        <w:tc>
          <w:tcPr>
            <w:tcW w:w="6978" w:type="dxa"/>
          </w:tcPr>
          <w:p w14:paraId="2004C74C" w14:textId="77777777" w:rsidR="00517334" w:rsidRPr="00824BF8" w:rsidRDefault="00517334" w:rsidP="00EF75ED">
            <w:pPr>
              <w:pStyle w:val="Default"/>
              <w:rPr>
                <w:rFonts w:asciiTheme="minorHAnsi" w:hAnsiTheme="minorHAnsi"/>
                <w:color w:val="515151" w:themeColor="text1"/>
                <w:szCs w:val="20"/>
              </w:rPr>
            </w:pPr>
            <w:r w:rsidRPr="00824BF8">
              <w:rPr>
                <w:rFonts w:asciiTheme="minorHAnsi" w:hAnsiTheme="minorHAnsi"/>
                <w:color w:val="515151" w:themeColor="text1"/>
                <w:szCs w:val="20"/>
              </w:rPr>
              <w:t>Statistically adjusted dropout from total population of units in period y.</w:t>
            </w:r>
          </w:p>
        </w:tc>
      </w:tr>
      <w:tr w:rsidR="00517334" w:rsidRPr="00575488" w14:paraId="4E3D5556" w14:textId="77777777" w:rsidTr="00AA6E51">
        <w:trPr>
          <w:gridAfter w:val="1"/>
          <w:wAfter w:w="28" w:type="dxa"/>
        </w:trPr>
        <w:tc>
          <w:tcPr>
            <w:tcW w:w="2775" w:type="dxa"/>
          </w:tcPr>
          <w:p w14:paraId="07CEDCB2" w14:textId="77777777" w:rsidR="00517334" w:rsidRPr="00824BF8" w:rsidRDefault="00517334" w:rsidP="00EF75ED">
            <w:pPr>
              <w:pStyle w:val="SDMTableBoxParaNotNumbered"/>
              <w:rPr>
                <w:rFonts w:asciiTheme="minorHAnsi" w:hAnsiTheme="minorHAnsi"/>
                <w:color w:val="515151" w:themeColor="text1"/>
              </w:rPr>
            </w:pPr>
            <w:r w:rsidRPr="00824BF8">
              <w:rPr>
                <w:rFonts w:asciiTheme="minorHAnsi" w:hAnsiTheme="minorHAnsi"/>
                <w:color w:val="515151" w:themeColor="text1"/>
              </w:rPr>
              <w:t>Source of data</w:t>
            </w:r>
          </w:p>
        </w:tc>
        <w:tc>
          <w:tcPr>
            <w:tcW w:w="6978" w:type="dxa"/>
          </w:tcPr>
          <w:p w14:paraId="25F54AA5" w14:textId="77777777" w:rsidR="00517334" w:rsidRPr="00824BF8" w:rsidRDefault="00517334" w:rsidP="00EF75ED">
            <w:pPr>
              <w:pStyle w:val="Default"/>
              <w:rPr>
                <w:rFonts w:asciiTheme="minorHAnsi" w:hAnsiTheme="minorHAnsi"/>
                <w:color w:val="515151" w:themeColor="text1"/>
              </w:rPr>
            </w:pPr>
            <w:r w:rsidRPr="00824BF8">
              <w:rPr>
                <w:rFonts w:asciiTheme="minorHAnsi" w:hAnsiTheme="minorHAnsi"/>
                <w:color w:val="515151" w:themeColor="text1"/>
                <w:szCs w:val="20"/>
              </w:rPr>
              <w:t>Primary data collection: dedicated monitoring team</w:t>
            </w:r>
          </w:p>
        </w:tc>
      </w:tr>
      <w:tr w:rsidR="00517334" w:rsidRPr="00575488" w14:paraId="412920B5" w14:textId="77777777" w:rsidTr="00AA6E51">
        <w:trPr>
          <w:gridAfter w:val="1"/>
          <w:wAfter w:w="28" w:type="dxa"/>
        </w:trPr>
        <w:tc>
          <w:tcPr>
            <w:tcW w:w="2775" w:type="dxa"/>
          </w:tcPr>
          <w:p w14:paraId="21FFA354" w14:textId="679A2014" w:rsidR="00517334" w:rsidRPr="00824BF8" w:rsidRDefault="00517334">
            <w:pPr>
              <w:pStyle w:val="SDMTableBoxParaNotNumbered"/>
              <w:rPr>
                <w:rFonts w:asciiTheme="minorHAnsi" w:hAnsiTheme="minorHAnsi"/>
                <w:color w:val="515151" w:themeColor="text1"/>
              </w:rPr>
            </w:pPr>
            <w:r w:rsidRPr="00824BF8">
              <w:rPr>
                <w:rFonts w:asciiTheme="minorHAnsi" w:hAnsiTheme="minorHAnsi"/>
                <w:color w:val="515151" w:themeColor="text1"/>
              </w:rPr>
              <w:t xml:space="preserve">Value(s) </w:t>
            </w:r>
            <w:r w:rsidR="00930659">
              <w:rPr>
                <w:rFonts w:asciiTheme="minorHAnsi" w:hAnsiTheme="minorHAnsi"/>
                <w:color w:val="515151" w:themeColor="text1"/>
              </w:rPr>
              <w:t>applied</w:t>
            </w:r>
          </w:p>
        </w:tc>
        <w:tc>
          <w:tcPr>
            <w:tcW w:w="6978" w:type="dxa"/>
          </w:tcPr>
          <w:p w14:paraId="6729943F" w14:textId="3646C9C3" w:rsidR="00517334" w:rsidRPr="00824BF8" w:rsidRDefault="0056643E" w:rsidP="00EF75ED">
            <w:pPr>
              <w:pStyle w:val="SDMTableBoxParaNotNumbered"/>
              <w:rPr>
                <w:rFonts w:asciiTheme="minorHAnsi" w:hAnsiTheme="minorHAnsi" w:cs="Arial"/>
                <w:color w:val="515151" w:themeColor="text1"/>
              </w:rPr>
            </w:pPr>
            <w:r>
              <w:rPr>
                <w:rFonts w:asciiTheme="minorHAnsi" w:hAnsiTheme="minorHAnsi" w:cs="Arial"/>
                <w:color w:val="515151" w:themeColor="text1"/>
              </w:rPr>
              <w:t>0.00%</w:t>
            </w:r>
          </w:p>
        </w:tc>
      </w:tr>
      <w:tr w:rsidR="00517334" w:rsidRPr="00575488" w14:paraId="225505E6" w14:textId="77777777" w:rsidTr="00AA6E51">
        <w:trPr>
          <w:gridAfter w:val="1"/>
          <w:wAfter w:w="28" w:type="dxa"/>
        </w:trPr>
        <w:tc>
          <w:tcPr>
            <w:tcW w:w="2775" w:type="dxa"/>
          </w:tcPr>
          <w:p w14:paraId="61D8A834" w14:textId="5151B16E" w:rsidR="00517334" w:rsidRPr="00824BF8" w:rsidRDefault="00930659" w:rsidP="00EF75ED">
            <w:pPr>
              <w:pStyle w:val="SDMTableBoxParaNotNumbered"/>
              <w:keepNext/>
              <w:rPr>
                <w:rFonts w:asciiTheme="minorHAnsi" w:hAnsiTheme="minorHAnsi"/>
                <w:color w:val="515151" w:themeColor="text1"/>
              </w:rPr>
            </w:pPr>
            <w:r w:rsidRPr="00930659">
              <w:rPr>
                <w:rFonts w:asciiTheme="minorHAnsi" w:hAnsiTheme="minorHAnsi"/>
                <w:color w:val="515151" w:themeColor="text1"/>
              </w:rPr>
              <w:t>Measurement methods and procedures</w:t>
            </w:r>
          </w:p>
        </w:tc>
        <w:tc>
          <w:tcPr>
            <w:tcW w:w="6978" w:type="dxa"/>
          </w:tcPr>
          <w:p w14:paraId="203CB8CC" w14:textId="480CC86B" w:rsidR="00930659" w:rsidRDefault="00930659" w:rsidP="00930659">
            <w:pPr>
              <w:pStyle w:val="SDMTableBoxParaNotNumbered"/>
              <w:keepNext/>
              <w:rPr>
                <w:rFonts w:asciiTheme="minorHAnsi" w:hAnsiTheme="minorHAnsi" w:cs="Arial"/>
                <w:color w:val="515151" w:themeColor="text1"/>
              </w:rPr>
            </w:pPr>
            <w:r w:rsidRPr="00930659">
              <w:rPr>
                <w:rFonts w:asciiTheme="minorHAnsi" w:hAnsiTheme="minorHAnsi" w:cs="Arial"/>
                <w:color w:val="515151" w:themeColor="text1"/>
              </w:rPr>
              <w:t>Monitoring of the statistically adjusted drop out involves two steps:</w:t>
            </w:r>
          </w:p>
          <w:p w14:paraId="2D719E58" w14:textId="77777777" w:rsidR="00930659" w:rsidRPr="00930659" w:rsidRDefault="00930659" w:rsidP="00930659">
            <w:pPr>
              <w:pStyle w:val="SDMTableBoxParaNotNumbered"/>
              <w:keepNext/>
              <w:textboxTightWrap w:val="firstLineOnly"/>
              <w:rPr>
                <w:rFonts w:asciiTheme="minorHAnsi" w:hAnsiTheme="minorHAnsi" w:cs="Arial"/>
                <w:color w:val="515151" w:themeColor="text1"/>
              </w:rPr>
            </w:pPr>
          </w:p>
          <w:p w14:paraId="548A2F7E" w14:textId="77777777" w:rsidR="00930659" w:rsidRPr="00930659" w:rsidRDefault="00930659" w:rsidP="00930659">
            <w:pPr>
              <w:pStyle w:val="SDMTableBoxParaNotNumbered"/>
              <w:keepNext/>
              <w:textboxTightWrap w:val="firstLineOnly"/>
              <w:rPr>
                <w:rFonts w:asciiTheme="minorHAnsi" w:hAnsiTheme="minorHAnsi" w:cs="Arial"/>
                <w:color w:val="515151" w:themeColor="text1"/>
              </w:rPr>
            </w:pPr>
            <w:r w:rsidRPr="00A55140">
              <w:rPr>
                <w:rFonts w:asciiTheme="minorHAnsi" w:hAnsiTheme="minorHAnsi" w:cs="Arial"/>
                <w:b/>
                <w:color w:val="515151" w:themeColor="text1"/>
              </w:rPr>
              <w:t>Step 1:</w:t>
            </w:r>
            <w:r w:rsidRPr="00930659">
              <w:rPr>
                <w:rFonts w:asciiTheme="minorHAnsi" w:hAnsiTheme="minorHAnsi" w:cs="Arial"/>
                <w:color w:val="515151" w:themeColor="text1"/>
              </w:rPr>
              <w:t xml:space="preserve"> Sample survey amongst units deployed as specified in section B.7.2 of the registered PDD.</w:t>
            </w:r>
          </w:p>
          <w:p w14:paraId="62DDDFFD" w14:textId="73FD3922" w:rsidR="00930659" w:rsidRDefault="00930659" w:rsidP="00930659">
            <w:pPr>
              <w:pStyle w:val="SDMTableBoxParaNotNumbered"/>
              <w:keepNext/>
              <w:rPr>
                <w:rFonts w:asciiTheme="minorHAnsi" w:hAnsiTheme="minorHAnsi" w:cs="Arial"/>
                <w:color w:val="515151" w:themeColor="text1"/>
              </w:rPr>
            </w:pPr>
            <w:r w:rsidRPr="00A55140">
              <w:rPr>
                <w:rFonts w:asciiTheme="minorHAnsi" w:hAnsiTheme="minorHAnsi" w:cs="Arial"/>
                <w:b/>
                <w:color w:val="515151" w:themeColor="text1"/>
              </w:rPr>
              <w:t>Step 2:</w:t>
            </w:r>
            <w:r w:rsidRPr="00930659">
              <w:rPr>
                <w:rFonts w:asciiTheme="minorHAnsi" w:hAnsiTheme="minorHAnsi" w:cs="Arial"/>
                <w:color w:val="515151" w:themeColor="text1"/>
              </w:rPr>
              <w:t xml:space="preserve"> Calculation of the adjusted drop o</w:t>
            </w:r>
            <w:r>
              <w:rPr>
                <w:rFonts w:asciiTheme="minorHAnsi" w:hAnsiTheme="minorHAnsi" w:cs="Arial"/>
                <w:color w:val="515151" w:themeColor="text1"/>
              </w:rPr>
              <w:t xml:space="preserve">ut rate at confidence level and </w:t>
            </w:r>
            <w:r w:rsidRPr="00930659">
              <w:rPr>
                <w:rFonts w:asciiTheme="minorHAnsi" w:hAnsiTheme="minorHAnsi" w:cs="Arial"/>
                <w:color w:val="515151" w:themeColor="text1"/>
              </w:rPr>
              <w:t>precision as required by the met</w:t>
            </w:r>
            <w:r>
              <w:rPr>
                <w:rFonts w:asciiTheme="minorHAnsi" w:hAnsiTheme="minorHAnsi" w:cs="Arial"/>
                <w:color w:val="515151" w:themeColor="text1"/>
              </w:rPr>
              <w:t xml:space="preserve">hodology (AMS I.E. v.4) for the </w:t>
            </w:r>
            <w:r w:rsidRPr="00930659">
              <w:rPr>
                <w:rFonts w:asciiTheme="minorHAnsi" w:hAnsiTheme="minorHAnsi" w:cs="Arial"/>
                <w:color w:val="515151" w:themeColor="text1"/>
              </w:rPr>
              <w:t>inspection frequency chosen.</w:t>
            </w:r>
          </w:p>
          <w:p w14:paraId="5485B247" w14:textId="77777777" w:rsidR="00930659" w:rsidRPr="00930659" w:rsidRDefault="00930659" w:rsidP="00930659">
            <w:pPr>
              <w:pStyle w:val="SDMTableBoxParaNotNumbered"/>
              <w:keepNext/>
              <w:textboxTightWrap w:val="firstLineOnly"/>
              <w:rPr>
                <w:rFonts w:asciiTheme="minorHAnsi" w:hAnsiTheme="minorHAnsi" w:cs="Arial"/>
                <w:color w:val="515151" w:themeColor="text1"/>
              </w:rPr>
            </w:pPr>
          </w:p>
          <w:p w14:paraId="74E6E159" w14:textId="4E97DD53" w:rsidR="00930659" w:rsidRDefault="00930659" w:rsidP="00930659">
            <w:pPr>
              <w:pStyle w:val="SDMTableBoxParaNotNumbered"/>
              <w:keepNext/>
              <w:rPr>
                <w:rFonts w:asciiTheme="minorHAnsi" w:hAnsiTheme="minorHAnsi" w:cs="Arial"/>
                <w:color w:val="515151" w:themeColor="text1"/>
              </w:rPr>
            </w:pPr>
            <w:r w:rsidRPr="00930659">
              <w:rPr>
                <w:rFonts w:asciiTheme="minorHAnsi" w:hAnsiTheme="minorHAnsi" w:cs="Arial"/>
                <w:color w:val="515151" w:themeColor="text1"/>
              </w:rPr>
              <w:t xml:space="preserve">The Drop outs </w:t>
            </w:r>
            <w:r w:rsidR="0056643E">
              <w:rPr>
                <w:rFonts w:asciiTheme="minorHAnsi" w:hAnsiTheme="minorHAnsi" w:cs="Arial"/>
                <w:color w:val="515151" w:themeColor="text1"/>
              </w:rPr>
              <w:t>are</w:t>
            </w:r>
            <w:r w:rsidRPr="00930659">
              <w:rPr>
                <w:rFonts w:asciiTheme="minorHAnsi" w:hAnsiTheme="minorHAnsi" w:cs="Arial"/>
                <w:color w:val="515151" w:themeColor="text1"/>
              </w:rPr>
              <w:t xml:space="preserve"> determined through spot checks and interviews where it </w:t>
            </w:r>
            <w:r w:rsidR="0056643E">
              <w:rPr>
                <w:rFonts w:asciiTheme="minorHAnsi" w:hAnsiTheme="minorHAnsi" w:cs="Arial"/>
                <w:color w:val="515151" w:themeColor="text1"/>
              </w:rPr>
              <w:t>is</w:t>
            </w:r>
            <w:r w:rsidRPr="00930659">
              <w:rPr>
                <w:rFonts w:asciiTheme="minorHAnsi" w:hAnsiTheme="minorHAnsi" w:cs="Arial"/>
                <w:color w:val="515151" w:themeColor="text1"/>
              </w:rPr>
              <w:t xml:space="preserve"> checked if the units have been operational during the monitoring period, performed by a dedicated monitoring team according to the sampling procedure described in section B.7.2 of the registered PDD. Substitution of non-renewable biomass </w:t>
            </w:r>
            <w:r w:rsidR="0056643E">
              <w:rPr>
                <w:rFonts w:asciiTheme="minorHAnsi" w:hAnsiTheme="minorHAnsi" w:cs="Arial"/>
                <w:color w:val="515151" w:themeColor="text1"/>
              </w:rPr>
              <w:t xml:space="preserve">is also </w:t>
            </w:r>
            <w:r w:rsidRPr="00930659">
              <w:rPr>
                <w:rFonts w:asciiTheme="minorHAnsi" w:hAnsiTheme="minorHAnsi" w:cs="Arial"/>
                <w:color w:val="515151" w:themeColor="text1"/>
              </w:rPr>
              <w:t xml:space="preserve">checked. Interviews </w:t>
            </w:r>
            <w:r w:rsidR="0056643E">
              <w:rPr>
                <w:rFonts w:asciiTheme="minorHAnsi" w:hAnsiTheme="minorHAnsi" w:cs="Arial"/>
                <w:color w:val="515151" w:themeColor="text1"/>
              </w:rPr>
              <w:t>are</w:t>
            </w:r>
            <w:r w:rsidRPr="00930659">
              <w:rPr>
                <w:rFonts w:asciiTheme="minorHAnsi" w:hAnsiTheme="minorHAnsi" w:cs="Arial"/>
                <w:color w:val="515151" w:themeColor="text1"/>
              </w:rPr>
              <w:t xml:space="preserve"> reported in a questionnaire.</w:t>
            </w:r>
          </w:p>
          <w:p w14:paraId="0BA090C6" w14:textId="77777777" w:rsidR="00BD5CAC" w:rsidRPr="00930659" w:rsidRDefault="00BD5CAC" w:rsidP="00930659">
            <w:pPr>
              <w:pStyle w:val="SDMTableBoxParaNotNumbered"/>
              <w:keepNext/>
              <w:textboxTightWrap w:val="firstLineOnly"/>
              <w:rPr>
                <w:rFonts w:asciiTheme="minorHAnsi" w:hAnsiTheme="minorHAnsi" w:cs="Arial"/>
                <w:color w:val="515151" w:themeColor="text1"/>
              </w:rPr>
            </w:pPr>
          </w:p>
          <w:p w14:paraId="74A730E2" w14:textId="5E581824" w:rsidR="00930659" w:rsidRPr="00930659" w:rsidRDefault="00930659" w:rsidP="00930659">
            <w:pPr>
              <w:pStyle w:val="SDMTableBoxParaNotNumbered"/>
              <w:keepNext/>
              <w:textboxTightWrap w:val="firstLineOnly"/>
              <w:rPr>
                <w:rFonts w:asciiTheme="minorHAnsi" w:hAnsiTheme="minorHAnsi" w:cs="Arial"/>
                <w:color w:val="515151" w:themeColor="text1"/>
              </w:rPr>
            </w:pPr>
            <w:r w:rsidRPr="00930659">
              <w:rPr>
                <w:rFonts w:asciiTheme="minorHAnsi" w:hAnsiTheme="minorHAnsi" w:cs="Arial"/>
                <w:color w:val="515151" w:themeColor="text1"/>
              </w:rPr>
              <w:t>Checks are conducted until the required precision for this parameter is achieved. All questionnaires and information gathered during the sampling by the monitoring team are handed over to the head of the monitoring team that takes care of entering the informa</w:t>
            </w:r>
            <w:r w:rsidR="00BD5CAC">
              <w:rPr>
                <w:rFonts w:asciiTheme="minorHAnsi" w:hAnsiTheme="minorHAnsi" w:cs="Arial"/>
                <w:color w:val="515151" w:themeColor="text1"/>
              </w:rPr>
              <w:t xml:space="preserve">tion to an electronic database. </w:t>
            </w:r>
            <w:r w:rsidRPr="00930659">
              <w:rPr>
                <w:rFonts w:asciiTheme="minorHAnsi" w:hAnsiTheme="minorHAnsi" w:cs="Arial"/>
                <w:color w:val="515151" w:themeColor="text1"/>
              </w:rPr>
              <w:t>All formulas applied to determine the statistical precision used are standard</w:t>
            </w:r>
          </w:p>
          <w:p w14:paraId="14D5151A" w14:textId="77777777" w:rsidR="00BD5CAC" w:rsidRDefault="00930659" w:rsidP="00930659">
            <w:pPr>
              <w:pStyle w:val="SDMTableBoxParaNotNumbered"/>
              <w:keepNext/>
              <w:rPr>
                <w:rFonts w:asciiTheme="minorHAnsi" w:hAnsiTheme="minorHAnsi" w:cs="Arial"/>
                <w:color w:val="515151" w:themeColor="text1"/>
              </w:rPr>
            </w:pPr>
            <w:r w:rsidRPr="00930659">
              <w:rPr>
                <w:rFonts w:asciiTheme="minorHAnsi" w:hAnsiTheme="minorHAnsi" w:cs="Arial"/>
                <w:color w:val="515151" w:themeColor="text1"/>
              </w:rPr>
              <w:t xml:space="preserve">formula. </w:t>
            </w:r>
          </w:p>
          <w:p w14:paraId="19280D53" w14:textId="044EF2C3" w:rsidR="0094569F" w:rsidRPr="0094569F" w:rsidRDefault="0094569F" w:rsidP="0094569F">
            <w:pPr>
              <w:pStyle w:val="SDMTableBoxParaNotNumbered"/>
              <w:keepNext/>
              <w:rPr>
                <w:rFonts w:asciiTheme="minorHAnsi" w:hAnsiTheme="minorHAnsi" w:cs="Arial"/>
                <w:color w:val="515151" w:themeColor="text1"/>
              </w:rPr>
            </w:pPr>
          </w:p>
          <w:p w14:paraId="4FB9B4AC" w14:textId="3093F295" w:rsidR="00517334" w:rsidRPr="00824BF8" w:rsidRDefault="0094569F" w:rsidP="0094569F">
            <w:pPr>
              <w:pStyle w:val="SDMTableBoxParaNotNumbered"/>
              <w:keepNext/>
              <w:rPr>
                <w:rFonts w:asciiTheme="minorHAnsi" w:hAnsiTheme="minorHAnsi" w:cs="Arial"/>
                <w:color w:val="515151" w:themeColor="text1"/>
              </w:rPr>
            </w:pPr>
            <w:r w:rsidRPr="0094569F">
              <w:rPr>
                <w:rFonts w:asciiTheme="minorHAnsi" w:hAnsiTheme="minorHAnsi" w:cs="Arial"/>
                <w:color w:val="515151" w:themeColor="text1"/>
              </w:rPr>
              <w:t>No deductions according to AMS I.E., v. 4, par.17 have been made because the precision is achieved by sampling the proper number of units.</w:t>
            </w:r>
          </w:p>
        </w:tc>
      </w:tr>
      <w:tr w:rsidR="00517334" w:rsidRPr="00575488" w14:paraId="26E2BD7B" w14:textId="77777777" w:rsidTr="00AA6E51">
        <w:trPr>
          <w:gridAfter w:val="1"/>
          <w:wAfter w:w="28" w:type="dxa"/>
        </w:trPr>
        <w:tc>
          <w:tcPr>
            <w:tcW w:w="2775" w:type="dxa"/>
          </w:tcPr>
          <w:p w14:paraId="32D0131C" w14:textId="32CC5CF1" w:rsidR="00517334" w:rsidRPr="00824BF8" w:rsidRDefault="00AE2881" w:rsidP="00EF75ED">
            <w:pPr>
              <w:pStyle w:val="SDMTableBoxParaNotNumbered"/>
              <w:rPr>
                <w:rFonts w:asciiTheme="minorHAnsi" w:hAnsiTheme="minorHAnsi"/>
                <w:color w:val="515151" w:themeColor="text1"/>
              </w:rPr>
            </w:pPr>
            <w:r w:rsidRPr="00047217">
              <w:rPr>
                <w:rFonts w:asciiTheme="minorHAnsi" w:hAnsiTheme="minorHAnsi"/>
                <w:color w:val="515151" w:themeColor="text1"/>
              </w:rPr>
              <w:t>Monitoring</w:t>
            </w:r>
            <w:r w:rsidR="004E0EAB">
              <w:rPr>
                <w:rFonts w:asciiTheme="minorHAnsi" w:hAnsiTheme="minorHAnsi"/>
                <w:color w:val="515151" w:themeColor="text1"/>
              </w:rPr>
              <w:t xml:space="preserve"> </w:t>
            </w:r>
            <w:r w:rsidR="00517334" w:rsidRPr="00824BF8">
              <w:rPr>
                <w:rFonts w:asciiTheme="minorHAnsi" w:hAnsiTheme="minorHAnsi"/>
                <w:color w:val="515151" w:themeColor="text1"/>
              </w:rPr>
              <w:t>frequency</w:t>
            </w:r>
          </w:p>
        </w:tc>
        <w:tc>
          <w:tcPr>
            <w:tcW w:w="6978" w:type="dxa"/>
          </w:tcPr>
          <w:p w14:paraId="7379E8BE" w14:textId="77777777" w:rsidR="00517334" w:rsidRPr="00824BF8" w:rsidRDefault="00517334" w:rsidP="00EF75ED">
            <w:pPr>
              <w:pStyle w:val="SDMTableBoxParaNotNumbered"/>
              <w:rPr>
                <w:rFonts w:asciiTheme="minorHAnsi" w:hAnsiTheme="minorHAnsi" w:cs="Arial"/>
                <w:color w:val="515151" w:themeColor="text1"/>
              </w:rPr>
            </w:pPr>
            <w:r w:rsidRPr="00824BF8">
              <w:rPr>
                <w:rFonts w:asciiTheme="minorHAnsi" w:hAnsiTheme="minorHAnsi" w:cs="Arial"/>
                <w:color w:val="515151" w:themeColor="text1"/>
              </w:rPr>
              <w:t>One monitoring campaign has been conducted for this monitoring period.</w:t>
            </w:r>
          </w:p>
        </w:tc>
      </w:tr>
      <w:tr w:rsidR="00517334" w:rsidRPr="00575488" w14:paraId="6BC81322" w14:textId="77777777" w:rsidTr="00AA6E51">
        <w:trPr>
          <w:gridAfter w:val="1"/>
          <w:wAfter w:w="28" w:type="dxa"/>
        </w:trPr>
        <w:tc>
          <w:tcPr>
            <w:tcW w:w="2775" w:type="dxa"/>
          </w:tcPr>
          <w:p w14:paraId="7B49AA2A" w14:textId="77777777" w:rsidR="00517334" w:rsidRPr="00824BF8" w:rsidRDefault="00517334" w:rsidP="00EF75ED">
            <w:pPr>
              <w:pStyle w:val="SDMTableBoxParaNotNumbered"/>
              <w:rPr>
                <w:rFonts w:asciiTheme="minorHAnsi" w:hAnsiTheme="minorHAnsi"/>
                <w:color w:val="515151" w:themeColor="text1"/>
              </w:rPr>
            </w:pPr>
            <w:r w:rsidRPr="00824BF8">
              <w:rPr>
                <w:rFonts w:asciiTheme="minorHAnsi" w:hAnsiTheme="minorHAnsi"/>
                <w:color w:val="515151" w:themeColor="text1"/>
              </w:rPr>
              <w:t>QA/QC procedures</w:t>
            </w:r>
          </w:p>
        </w:tc>
        <w:tc>
          <w:tcPr>
            <w:tcW w:w="6978" w:type="dxa"/>
          </w:tcPr>
          <w:p w14:paraId="5411FDE0" w14:textId="77777777" w:rsidR="00517334" w:rsidRPr="00824BF8" w:rsidRDefault="00517334" w:rsidP="00EF75ED">
            <w:pPr>
              <w:pStyle w:val="Default"/>
              <w:spacing w:after="240"/>
              <w:rPr>
                <w:rFonts w:asciiTheme="minorHAnsi" w:hAnsiTheme="minorHAnsi"/>
                <w:color w:val="515151" w:themeColor="text1"/>
                <w:szCs w:val="20"/>
              </w:rPr>
            </w:pPr>
            <w:r w:rsidRPr="00824BF8">
              <w:rPr>
                <w:rFonts w:asciiTheme="minorHAnsi" w:hAnsiTheme="minorHAnsi"/>
                <w:color w:val="515151" w:themeColor="text1"/>
                <w:szCs w:val="20"/>
              </w:rPr>
              <w:t xml:space="preserve">Data has been collected using the standard procedures as described in an internal Monitoring Manual and is stored for the crediting period and an additional two years. </w:t>
            </w:r>
          </w:p>
          <w:p w14:paraId="51455483" w14:textId="77777777" w:rsidR="00517334" w:rsidRPr="00824BF8" w:rsidRDefault="00517334" w:rsidP="00EF75ED">
            <w:pPr>
              <w:pStyle w:val="Default"/>
              <w:spacing w:after="240"/>
              <w:rPr>
                <w:rFonts w:asciiTheme="minorHAnsi" w:hAnsiTheme="minorHAnsi"/>
                <w:color w:val="515151" w:themeColor="text1"/>
              </w:rPr>
            </w:pPr>
            <w:r w:rsidRPr="00824BF8">
              <w:rPr>
                <w:rFonts w:asciiTheme="minorHAnsi" w:hAnsiTheme="minorHAnsi"/>
                <w:color w:val="515151" w:themeColor="text1"/>
                <w:szCs w:val="20"/>
              </w:rPr>
              <w:t xml:space="preserve">The households visited during the monitoring confirm by signature that </w:t>
            </w:r>
            <w:r w:rsidRPr="00824BF8">
              <w:rPr>
                <w:rFonts w:asciiTheme="minorHAnsi" w:hAnsiTheme="minorHAnsi"/>
                <w:color w:val="515151" w:themeColor="text1"/>
              </w:rPr>
              <w:t>the name and contact details provided in the signed end user agreement are correct and corresponding to the owner of the unit and therefore the biogas units. This check enables to analyse on site whether the owner and contact details stated in the end user agreement of the randomly selected biogas unit do correspond to the visited household and unit.</w:t>
            </w:r>
          </w:p>
        </w:tc>
      </w:tr>
      <w:tr w:rsidR="00517334" w:rsidRPr="00575488" w14:paraId="43B66E06" w14:textId="77777777" w:rsidTr="00AA6E51">
        <w:trPr>
          <w:gridAfter w:val="1"/>
          <w:wAfter w:w="28" w:type="dxa"/>
        </w:trPr>
        <w:tc>
          <w:tcPr>
            <w:tcW w:w="2775" w:type="dxa"/>
          </w:tcPr>
          <w:p w14:paraId="7592EE9E" w14:textId="65165992" w:rsidR="00517334" w:rsidRPr="00824BF8" w:rsidRDefault="00517334" w:rsidP="00AE2881">
            <w:pPr>
              <w:pStyle w:val="SDMTableBoxParaNotNumbered"/>
              <w:rPr>
                <w:rFonts w:asciiTheme="minorHAnsi" w:hAnsiTheme="minorHAnsi"/>
                <w:color w:val="515151" w:themeColor="text1"/>
              </w:rPr>
            </w:pPr>
            <w:r w:rsidRPr="00824BF8">
              <w:rPr>
                <w:rFonts w:asciiTheme="minorHAnsi" w:hAnsiTheme="minorHAnsi"/>
                <w:color w:val="515151" w:themeColor="text1"/>
              </w:rPr>
              <w:t>Purpose of data</w:t>
            </w:r>
          </w:p>
        </w:tc>
        <w:tc>
          <w:tcPr>
            <w:tcW w:w="6978" w:type="dxa"/>
          </w:tcPr>
          <w:p w14:paraId="20D91990" w14:textId="257735F2" w:rsidR="00517334" w:rsidRPr="00824BF8" w:rsidRDefault="00BD5CAC" w:rsidP="00EF75ED">
            <w:pPr>
              <w:pStyle w:val="SDMTableBoxParaNotNumbered"/>
              <w:rPr>
                <w:rFonts w:asciiTheme="minorHAnsi" w:hAnsiTheme="minorHAnsi" w:cs="Arial"/>
                <w:color w:val="515151" w:themeColor="text1"/>
              </w:rPr>
            </w:pPr>
            <w:r w:rsidRPr="00BD5CAC">
              <w:rPr>
                <w:rFonts w:asciiTheme="minorHAnsi" w:hAnsiTheme="minorHAnsi" w:cs="Arial"/>
                <w:color w:val="515151" w:themeColor="text1"/>
              </w:rPr>
              <w:t>Calculation of emission reductions</w:t>
            </w:r>
          </w:p>
        </w:tc>
      </w:tr>
      <w:tr w:rsidR="00517334" w:rsidRPr="00575488" w14:paraId="0A48EA2F" w14:textId="77777777" w:rsidTr="00AA6E51">
        <w:trPr>
          <w:gridAfter w:val="1"/>
          <w:wAfter w:w="28" w:type="dxa"/>
        </w:trPr>
        <w:tc>
          <w:tcPr>
            <w:tcW w:w="2775" w:type="dxa"/>
          </w:tcPr>
          <w:p w14:paraId="48A7A54F" w14:textId="77777777" w:rsidR="00517334" w:rsidRPr="00824BF8" w:rsidRDefault="00517334" w:rsidP="00EF75ED">
            <w:pPr>
              <w:pStyle w:val="SDMTableBoxParaNotNumbered"/>
              <w:rPr>
                <w:rFonts w:asciiTheme="minorHAnsi" w:hAnsiTheme="minorHAnsi"/>
                <w:color w:val="515151" w:themeColor="text1"/>
              </w:rPr>
            </w:pPr>
            <w:r w:rsidRPr="00824BF8">
              <w:rPr>
                <w:rFonts w:asciiTheme="minorHAnsi" w:hAnsiTheme="minorHAnsi"/>
                <w:color w:val="515151" w:themeColor="text1"/>
              </w:rPr>
              <w:t>Additional comments</w:t>
            </w:r>
          </w:p>
        </w:tc>
        <w:tc>
          <w:tcPr>
            <w:tcW w:w="6978" w:type="dxa"/>
          </w:tcPr>
          <w:p w14:paraId="627DAC53" w14:textId="77777777" w:rsidR="00517334" w:rsidRPr="00824BF8" w:rsidRDefault="00517334" w:rsidP="00EF75ED">
            <w:pPr>
              <w:pStyle w:val="SDMTableBoxParaNotNumbered"/>
              <w:rPr>
                <w:rFonts w:asciiTheme="minorHAnsi" w:hAnsiTheme="minorHAnsi"/>
                <w:color w:val="515151" w:themeColor="text1"/>
              </w:rPr>
            </w:pPr>
            <w:r w:rsidRPr="00824BF8">
              <w:rPr>
                <w:rFonts w:asciiTheme="minorHAnsi" w:hAnsiTheme="minorHAnsi"/>
                <w:color w:val="515151" w:themeColor="text1"/>
              </w:rPr>
              <w:t>n/a</w:t>
            </w:r>
          </w:p>
        </w:tc>
      </w:tr>
      <w:tr w:rsidR="004E0EAB" w:rsidRPr="00575488" w14:paraId="01B1407B" w14:textId="77777777" w:rsidTr="00AA6E51">
        <w:tc>
          <w:tcPr>
            <w:tcW w:w="2775" w:type="dxa"/>
            <w:shd w:val="clear" w:color="auto" w:fill="00B9BD" w:themeFill="accent1"/>
          </w:tcPr>
          <w:p w14:paraId="43CDAB70" w14:textId="77777777" w:rsidR="004E0EAB" w:rsidRPr="00470065" w:rsidRDefault="004E0EAB" w:rsidP="006932CA">
            <w:pPr>
              <w:pStyle w:val="SDMTableBoxParaNotNumbered"/>
              <w:keepNext/>
              <w:keepLines/>
              <w:rPr>
                <w:rFonts w:asciiTheme="minorHAnsi" w:hAnsiTheme="minorHAnsi"/>
                <w:b/>
                <w:color w:val="FFFFFF" w:themeColor="background1"/>
              </w:rPr>
            </w:pPr>
            <w:r w:rsidRPr="00470065">
              <w:rPr>
                <w:rFonts w:asciiTheme="minorHAnsi" w:hAnsiTheme="minorHAnsi"/>
                <w:b/>
                <w:color w:val="FFFFFF" w:themeColor="background1"/>
              </w:rPr>
              <w:t>Relevant SDG Indicator/Safeguarding Principle</w:t>
            </w:r>
          </w:p>
        </w:tc>
        <w:tc>
          <w:tcPr>
            <w:tcW w:w="7006" w:type="dxa"/>
            <w:gridSpan w:val="2"/>
            <w:shd w:val="clear" w:color="auto" w:fill="00B9BD" w:themeFill="accent1"/>
          </w:tcPr>
          <w:p w14:paraId="4326D44B" w14:textId="77777777" w:rsidR="004E0EAB" w:rsidRPr="004E0EAB" w:rsidRDefault="004E0EAB" w:rsidP="004E0EAB">
            <w:pPr>
              <w:pStyle w:val="Default"/>
              <w:rPr>
                <w:b/>
                <w:bCs/>
                <w:iCs/>
                <w:color w:val="FFFFFF" w:themeColor="background1"/>
                <w:szCs w:val="20"/>
              </w:rPr>
            </w:pPr>
            <w:r w:rsidRPr="004E0EAB">
              <w:rPr>
                <w:b/>
                <w:bCs/>
                <w:iCs/>
                <w:color w:val="FFFFFF" w:themeColor="background1"/>
                <w:szCs w:val="20"/>
              </w:rPr>
              <w:t>SDG 3, Target 3.9, Indicator 3.9.1</w:t>
            </w:r>
          </w:p>
          <w:p w14:paraId="4436B457" w14:textId="43AB24AD" w:rsidR="004E0EAB" w:rsidRPr="00470065" w:rsidRDefault="004E0EAB" w:rsidP="004E0EAB">
            <w:pPr>
              <w:pStyle w:val="Default"/>
              <w:rPr>
                <w:b/>
                <w:color w:val="FFFFFF" w:themeColor="background1"/>
                <w:szCs w:val="20"/>
              </w:rPr>
            </w:pPr>
            <w:r w:rsidRPr="004E0EAB">
              <w:rPr>
                <w:b/>
                <w:bCs/>
                <w:iCs/>
                <w:color w:val="FFFFFF" w:themeColor="background1"/>
                <w:szCs w:val="20"/>
              </w:rPr>
              <w:t>GS Monitoring Parameter 01: Air quality</w:t>
            </w:r>
          </w:p>
        </w:tc>
      </w:tr>
      <w:tr w:rsidR="004E0EAB" w:rsidRPr="00575488" w14:paraId="66B1A4F6" w14:textId="77777777" w:rsidTr="00AA6E51">
        <w:trPr>
          <w:gridAfter w:val="1"/>
          <w:wAfter w:w="28" w:type="dxa"/>
        </w:trPr>
        <w:tc>
          <w:tcPr>
            <w:tcW w:w="2775" w:type="dxa"/>
          </w:tcPr>
          <w:p w14:paraId="08035E1E" w14:textId="77777777" w:rsidR="004E0EAB" w:rsidRPr="00824BF8" w:rsidRDefault="004E0EAB" w:rsidP="006932CA">
            <w:pPr>
              <w:pStyle w:val="SDMTableBoxParaNotNumbered"/>
              <w:rPr>
                <w:rFonts w:asciiTheme="minorHAnsi" w:hAnsiTheme="minorHAnsi"/>
                <w:color w:val="515151" w:themeColor="text1"/>
              </w:rPr>
            </w:pPr>
            <w:r>
              <w:rPr>
                <w:rFonts w:asciiTheme="minorHAnsi" w:hAnsiTheme="minorHAnsi"/>
                <w:color w:val="515151" w:themeColor="text1"/>
              </w:rPr>
              <w:t>Data/Parameter</w:t>
            </w:r>
          </w:p>
        </w:tc>
        <w:tc>
          <w:tcPr>
            <w:tcW w:w="6978" w:type="dxa"/>
          </w:tcPr>
          <w:p w14:paraId="043E578E" w14:textId="59D8877F" w:rsidR="004E0EAB" w:rsidRPr="00470065" w:rsidRDefault="004E0EAB" w:rsidP="006932CA">
            <w:pPr>
              <w:pStyle w:val="SDMTableBoxParaNotNumbered"/>
              <w:rPr>
                <w:rFonts w:asciiTheme="minorHAnsi" w:hAnsiTheme="minorHAnsi" w:cs="Arial"/>
                <w:color w:val="515151" w:themeColor="text1"/>
              </w:rPr>
            </w:pPr>
            <w:r w:rsidRPr="004E0EAB">
              <w:rPr>
                <w:rFonts w:asciiTheme="minorHAnsi" w:hAnsiTheme="minorHAnsi"/>
                <w:color w:val="515151" w:themeColor="text1"/>
              </w:rPr>
              <w:t>Status of respiratory problems</w:t>
            </w:r>
          </w:p>
        </w:tc>
      </w:tr>
      <w:tr w:rsidR="004E0EAB" w:rsidRPr="00575488" w14:paraId="43FAD439" w14:textId="77777777" w:rsidTr="00AA6E51">
        <w:trPr>
          <w:gridAfter w:val="1"/>
          <w:wAfter w:w="28" w:type="dxa"/>
        </w:trPr>
        <w:tc>
          <w:tcPr>
            <w:tcW w:w="2775" w:type="dxa"/>
          </w:tcPr>
          <w:p w14:paraId="48125FC4" w14:textId="77777777" w:rsidR="004E0EAB" w:rsidRPr="00824BF8" w:rsidRDefault="004E0EAB"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Unit</w:t>
            </w:r>
          </w:p>
        </w:tc>
        <w:tc>
          <w:tcPr>
            <w:tcW w:w="6978" w:type="dxa"/>
          </w:tcPr>
          <w:p w14:paraId="03F0B275" w14:textId="66BB88A0" w:rsidR="004E0EAB" w:rsidRPr="00824BF8" w:rsidRDefault="004E0EAB" w:rsidP="006932CA">
            <w:pPr>
              <w:pStyle w:val="SDMTableBoxParaNotNumbered"/>
              <w:rPr>
                <w:rFonts w:asciiTheme="minorHAnsi" w:hAnsiTheme="minorHAnsi" w:cs="Arial"/>
                <w:color w:val="515151" w:themeColor="text1"/>
              </w:rPr>
            </w:pPr>
            <w:r w:rsidRPr="004E0EAB">
              <w:rPr>
                <w:rFonts w:asciiTheme="minorHAnsi" w:hAnsiTheme="minorHAnsi" w:cs="Arial"/>
                <w:color w:val="515151" w:themeColor="text1"/>
              </w:rPr>
              <w:t>N.A.</w:t>
            </w:r>
          </w:p>
        </w:tc>
      </w:tr>
      <w:tr w:rsidR="004E0EAB" w:rsidRPr="00575488" w14:paraId="71FA9172" w14:textId="77777777" w:rsidTr="00AA6E51">
        <w:trPr>
          <w:gridAfter w:val="1"/>
          <w:wAfter w:w="28" w:type="dxa"/>
        </w:trPr>
        <w:tc>
          <w:tcPr>
            <w:tcW w:w="2775" w:type="dxa"/>
          </w:tcPr>
          <w:p w14:paraId="08AC5E82" w14:textId="77777777" w:rsidR="004E0EAB" w:rsidRPr="00824BF8" w:rsidRDefault="004E0EAB"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lastRenderedPageBreak/>
              <w:t>Description</w:t>
            </w:r>
          </w:p>
        </w:tc>
        <w:tc>
          <w:tcPr>
            <w:tcW w:w="6978" w:type="dxa"/>
          </w:tcPr>
          <w:p w14:paraId="57B265DC" w14:textId="34B2BC3F" w:rsidR="004E0EAB" w:rsidRPr="00824BF8" w:rsidRDefault="004E0EAB" w:rsidP="006932CA">
            <w:pPr>
              <w:pStyle w:val="Default"/>
              <w:rPr>
                <w:rFonts w:asciiTheme="minorHAnsi" w:hAnsiTheme="minorHAnsi"/>
                <w:color w:val="515151" w:themeColor="text1"/>
                <w:szCs w:val="20"/>
              </w:rPr>
            </w:pPr>
            <w:r w:rsidRPr="004E0EAB">
              <w:rPr>
                <w:rFonts w:asciiTheme="minorHAnsi" w:hAnsiTheme="minorHAnsi"/>
                <w:color w:val="515151" w:themeColor="text1"/>
                <w:szCs w:val="20"/>
              </w:rPr>
              <w:t>Use of biogas avoids indoor air pollution through smoke from open fires and thereby reduces negative health impacts like respiratory problems.</w:t>
            </w:r>
          </w:p>
        </w:tc>
      </w:tr>
      <w:tr w:rsidR="004E0EAB" w:rsidRPr="00575488" w14:paraId="376648E5" w14:textId="77777777" w:rsidTr="00AA6E51">
        <w:trPr>
          <w:gridAfter w:val="1"/>
          <w:wAfter w:w="28" w:type="dxa"/>
        </w:trPr>
        <w:tc>
          <w:tcPr>
            <w:tcW w:w="2775" w:type="dxa"/>
          </w:tcPr>
          <w:p w14:paraId="34AAAB2A" w14:textId="77777777" w:rsidR="004E0EAB" w:rsidRPr="00824BF8" w:rsidRDefault="004E0EAB"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Source of data</w:t>
            </w:r>
          </w:p>
        </w:tc>
        <w:tc>
          <w:tcPr>
            <w:tcW w:w="6978" w:type="dxa"/>
          </w:tcPr>
          <w:p w14:paraId="127541B4" w14:textId="2F98EBA2" w:rsidR="004E0EAB" w:rsidRPr="00824BF8" w:rsidRDefault="004E0EAB" w:rsidP="006932CA">
            <w:pPr>
              <w:pStyle w:val="Default"/>
              <w:rPr>
                <w:rFonts w:asciiTheme="minorHAnsi" w:hAnsiTheme="minorHAnsi"/>
                <w:color w:val="515151" w:themeColor="text1"/>
              </w:rPr>
            </w:pPr>
            <w:r w:rsidRPr="004E0EAB">
              <w:rPr>
                <w:rFonts w:asciiTheme="minorHAnsi" w:hAnsiTheme="minorHAnsi"/>
                <w:color w:val="515151" w:themeColor="text1"/>
                <w:szCs w:val="20"/>
              </w:rPr>
              <w:t>Question on questionnaire for sample households during monitoring campaign</w:t>
            </w:r>
          </w:p>
        </w:tc>
      </w:tr>
      <w:tr w:rsidR="008B51A7" w:rsidRPr="00575488" w14:paraId="73FC0A4C" w14:textId="77777777" w:rsidTr="00AA6E51">
        <w:trPr>
          <w:gridAfter w:val="1"/>
          <w:wAfter w:w="28" w:type="dxa"/>
        </w:trPr>
        <w:tc>
          <w:tcPr>
            <w:tcW w:w="2775" w:type="dxa"/>
          </w:tcPr>
          <w:p w14:paraId="6A073D00" w14:textId="77777777" w:rsidR="008B51A7" w:rsidRPr="00824BF8" w:rsidRDefault="008B51A7" w:rsidP="008B51A7">
            <w:pPr>
              <w:pStyle w:val="SDMTableBoxParaNotNumbered"/>
              <w:rPr>
                <w:rFonts w:asciiTheme="minorHAnsi" w:hAnsiTheme="minorHAnsi"/>
                <w:color w:val="515151" w:themeColor="text1"/>
              </w:rPr>
            </w:pPr>
            <w:r w:rsidRPr="00824BF8">
              <w:rPr>
                <w:rFonts w:asciiTheme="minorHAnsi" w:hAnsiTheme="minorHAnsi"/>
                <w:color w:val="515151" w:themeColor="text1"/>
              </w:rPr>
              <w:t xml:space="preserve">Value(s) </w:t>
            </w:r>
            <w:r>
              <w:rPr>
                <w:rFonts w:asciiTheme="minorHAnsi" w:hAnsiTheme="minorHAnsi"/>
                <w:color w:val="515151" w:themeColor="text1"/>
              </w:rPr>
              <w:t>applied</w:t>
            </w:r>
          </w:p>
        </w:tc>
        <w:tc>
          <w:tcPr>
            <w:tcW w:w="6978" w:type="dxa"/>
          </w:tcPr>
          <w:p w14:paraId="7E2AC6CC" w14:textId="39502D16" w:rsidR="008B51A7" w:rsidRPr="008B51A7" w:rsidRDefault="0094542C" w:rsidP="008B51A7">
            <w:pPr>
              <w:pStyle w:val="Default"/>
              <w:rPr>
                <w:color w:val="515151" w:themeColor="text1"/>
              </w:rPr>
            </w:pPr>
            <w:r w:rsidRPr="00362EE5">
              <w:rPr>
                <w:rFonts w:asciiTheme="minorHAnsi" w:hAnsiTheme="minorHAnsi" w:cs="Times New Roman (Body CS)"/>
                <w:color w:val="4D4D4C"/>
                <w14:cntxtAlts/>
              </w:rPr>
              <w:t>91</w:t>
            </w:r>
            <w:r>
              <w:rPr>
                <w:rFonts w:asciiTheme="minorHAnsi" w:hAnsiTheme="minorHAnsi" w:cs="Times New Roman (Body CS)"/>
                <w:color w:val="4D4D4C"/>
                <w:lang w:val="en-US"/>
                <w14:cntxtAlts/>
              </w:rPr>
              <w:t>%</w:t>
            </w:r>
            <w:r>
              <w:rPr>
                <w:rStyle w:val="FootnoteReference"/>
                <w:rFonts w:asciiTheme="minorHAnsi" w:hAnsiTheme="minorHAnsi" w:cs="Times New Roman (Body CS)"/>
                <w:color w:val="4D4D4C"/>
                <w:lang w:val="en-US"/>
                <w14:cntxtAlts/>
              </w:rPr>
              <w:footnoteReference w:id="3"/>
            </w:r>
            <w:r>
              <w:rPr>
                <w:rFonts w:asciiTheme="minorHAnsi" w:hAnsiTheme="minorHAnsi"/>
              </w:rPr>
              <w:t xml:space="preserve"> </w:t>
            </w:r>
            <w:r w:rsidR="008B51A7" w:rsidRPr="008B51A7">
              <w:rPr>
                <w:color w:val="515151" w:themeColor="text1"/>
              </w:rPr>
              <w:t xml:space="preserve"> improvement of air quality</w:t>
            </w:r>
          </w:p>
          <w:p w14:paraId="32BC119A" w14:textId="4A1986C2" w:rsidR="008B51A7" w:rsidRPr="008B51A7" w:rsidRDefault="008B51A7" w:rsidP="008B51A7">
            <w:pPr>
              <w:pStyle w:val="Default"/>
              <w:rPr>
                <w:rFonts w:cs="Arial"/>
                <w:color w:val="515151" w:themeColor="text1"/>
              </w:rPr>
            </w:pPr>
            <w:r w:rsidRPr="008B51A7">
              <w:rPr>
                <w:color w:val="515151" w:themeColor="text1"/>
              </w:rPr>
              <w:t>100% improvement of respiratory problems</w:t>
            </w:r>
          </w:p>
        </w:tc>
      </w:tr>
      <w:tr w:rsidR="008B51A7" w:rsidRPr="00575488" w14:paraId="7D8CA124" w14:textId="77777777" w:rsidTr="00AA6E51">
        <w:trPr>
          <w:gridAfter w:val="1"/>
          <w:wAfter w:w="28" w:type="dxa"/>
        </w:trPr>
        <w:tc>
          <w:tcPr>
            <w:tcW w:w="2775" w:type="dxa"/>
          </w:tcPr>
          <w:p w14:paraId="2723FF25" w14:textId="77777777" w:rsidR="008B51A7" w:rsidRPr="00824BF8" w:rsidRDefault="008B51A7" w:rsidP="008B51A7">
            <w:pPr>
              <w:pStyle w:val="SDMTableBoxParaNotNumbered"/>
              <w:keepNext/>
              <w:rPr>
                <w:rFonts w:asciiTheme="minorHAnsi" w:hAnsiTheme="minorHAnsi"/>
                <w:color w:val="515151" w:themeColor="text1"/>
              </w:rPr>
            </w:pPr>
            <w:r w:rsidRPr="00930659">
              <w:rPr>
                <w:rFonts w:asciiTheme="minorHAnsi" w:hAnsiTheme="minorHAnsi"/>
                <w:color w:val="515151" w:themeColor="text1"/>
              </w:rPr>
              <w:t>Measurement methods and procedures</w:t>
            </w:r>
          </w:p>
        </w:tc>
        <w:tc>
          <w:tcPr>
            <w:tcW w:w="6978" w:type="dxa"/>
          </w:tcPr>
          <w:p w14:paraId="4C268A18" w14:textId="3687F2A4" w:rsidR="008B51A7" w:rsidRPr="00824BF8" w:rsidRDefault="008B51A7" w:rsidP="008B51A7">
            <w:pPr>
              <w:pStyle w:val="SDMTableBoxParaNotNumbered"/>
              <w:keepNext/>
              <w:rPr>
                <w:rFonts w:asciiTheme="minorHAnsi" w:hAnsiTheme="minorHAnsi" w:cs="Arial"/>
                <w:color w:val="515151" w:themeColor="text1"/>
              </w:rPr>
            </w:pPr>
            <w:r w:rsidRPr="004E0EAB">
              <w:rPr>
                <w:rFonts w:asciiTheme="minorHAnsi" w:hAnsiTheme="minorHAnsi" w:cs="Arial"/>
                <w:color w:val="515151" w:themeColor="text1"/>
              </w:rPr>
              <w:t>Data on the parameter air quality are collected through surveys with the sample households during the monitoring campaign. Biogas owners are asked how air quality in the kitchen has changed since using biogas, whether they experienced respiratory problems before using the biogas unit and, if yes, whether they have perceive an improvement as a result of cooking with biogas.</w:t>
            </w:r>
          </w:p>
        </w:tc>
      </w:tr>
      <w:tr w:rsidR="008B51A7" w:rsidRPr="00575488" w14:paraId="6DF33C32" w14:textId="77777777" w:rsidTr="00AA6E51">
        <w:trPr>
          <w:gridAfter w:val="1"/>
          <w:wAfter w:w="28" w:type="dxa"/>
        </w:trPr>
        <w:tc>
          <w:tcPr>
            <w:tcW w:w="2775" w:type="dxa"/>
          </w:tcPr>
          <w:p w14:paraId="170EEDE6" w14:textId="695D3AB6" w:rsidR="008B51A7" w:rsidRPr="00824BF8" w:rsidRDefault="008B51A7" w:rsidP="008B51A7">
            <w:pPr>
              <w:pStyle w:val="SDMTableBoxParaNotNumbered"/>
              <w:rPr>
                <w:rFonts w:asciiTheme="minorHAnsi" w:hAnsiTheme="minorHAnsi"/>
                <w:color w:val="515151" w:themeColor="text1"/>
              </w:rPr>
            </w:pPr>
            <w:r w:rsidRPr="00047217">
              <w:rPr>
                <w:rFonts w:asciiTheme="minorHAnsi" w:hAnsiTheme="minorHAnsi"/>
                <w:color w:val="515151" w:themeColor="text1"/>
              </w:rPr>
              <w:t>Monitoring</w:t>
            </w:r>
            <w:r w:rsidRPr="00824BF8">
              <w:rPr>
                <w:rFonts w:asciiTheme="minorHAnsi" w:hAnsiTheme="minorHAnsi"/>
                <w:color w:val="515151" w:themeColor="text1"/>
              </w:rPr>
              <w:t xml:space="preserve"> frequency</w:t>
            </w:r>
          </w:p>
        </w:tc>
        <w:tc>
          <w:tcPr>
            <w:tcW w:w="6978" w:type="dxa"/>
          </w:tcPr>
          <w:p w14:paraId="32C941EF" w14:textId="77777777" w:rsidR="008B51A7" w:rsidRPr="00824BF8" w:rsidRDefault="008B51A7" w:rsidP="008B51A7">
            <w:pPr>
              <w:pStyle w:val="SDMTableBoxParaNotNumbered"/>
              <w:rPr>
                <w:rFonts w:asciiTheme="minorHAnsi" w:hAnsiTheme="minorHAnsi" w:cs="Arial"/>
                <w:color w:val="515151" w:themeColor="text1"/>
              </w:rPr>
            </w:pPr>
            <w:r w:rsidRPr="00824BF8">
              <w:rPr>
                <w:rFonts w:asciiTheme="minorHAnsi" w:hAnsiTheme="minorHAnsi" w:cs="Arial"/>
                <w:color w:val="515151" w:themeColor="text1"/>
              </w:rPr>
              <w:t>One monitoring campaign has been conducted for this monitoring period.</w:t>
            </w:r>
          </w:p>
        </w:tc>
      </w:tr>
      <w:tr w:rsidR="008B51A7" w:rsidRPr="00575488" w14:paraId="782CE8EB" w14:textId="77777777" w:rsidTr="00AA6E51">
        <w:trPr>
          <w:gridAfter w:val="1"/>
          <w:wAfter w:w="28" w:type="dxa"/>
        </w:trPr>
        <w:tc>
          <w:tcPr>
            <w:tcW w:w="2775" w:type="dxa"/>
          </w:tcPr>
          <w:p w14:paraId="27594A38" w14:textId="77777777" w:rsidR="008B51A7" w:rsidRPr="00824BF8" w:rsidRDefault="008B51A7" w:rsidP="008B51A7">
            <w:pPr>
              <w:pStyle w:val="SDMTableBoxParaNotNumbered"/>
              <w:rPr>
                <w:rFonts w:asciiTheme="minorHAnsi" w:hAnsiTheme="minorHAnsi"/>
                <w:color w:val="515151" w:themeColor="text1"/>
              </w:rPr>
            </w:pPr>
            <w:r w:rsidRPr="00824BF8">
              <w:rPr>
                <w:rFonts w:asciiTheme="minorHAnsi" w:hAnsiTheme="minorHAnsi"/>
                <w:color w:val="515151" w:themeColor="text1"/>
              </w:rPr>
              <w:t>QA/QC procedures</w:t>
            </w:r>
          </w:p>
        </w:tc>
        <w:tc>
          <w:tcPr>
            <w:tcW w:w="6978" w:type="dxa"/>
          </w:tcPr>
          <w:p w14:paraId="1C6F62C5" w14:textId="2AD5E51E" w:rsidR="008B51A7" w:rsidRPr="00824BF8" w:rsidRDefault="008B51A7" w:rsidP="008B51A7">
            <w:pPr>
              <w:pStyle w:val="Default"/>
              <w:spacing w:after="240"/>
              <w:rPr>
                <w:rFonts w:asciiTheme="minorHAnsi" w:hAnsiTheme="minorHAnsi"/>
                <w:color w:val="515151" w:themeColor="text1"/>
              </w:rPr>
            </w:pPr>
            <w:r w:rsidRPr="004E0EAB">
              <w:rPr>
                <w:rFonts w:asciiTheme="minorHAnsi" w:hAnsiTheme="minorHAnsi"/>
                <w:color w:val="515151" w:themeColor="text1"/>
                <w:szCs w:val="20"/>
              </w:rPr>
              <w:t>Questionnaires are stored electronically and as hard copy. Answers are copied into an excel-database.</w:t>
            </w:r>
          </w:p>
        </w:tc>
      </w:tr>
      <w:tr w:rsidR="008B51A7" w:rsidRPr="00575488" w14:paraId="6D102DD6" w14:textId="77777777" w:rsidTr="00AA6E51">
        <w:trPr>
          <w:gridAfter w:val="1"/>
          <w:wAfter w:w="28" w:type="dxa"/>
        </w:trPr>
        <w:tc>
          <w:tcPr>
            <w:tcW w:w="2775" w:type="dxa"/>
          </w:tcPr>
          <w:p w14:paraId="6DF078E7" w14:textId="38A241FE" w:rsidR="008B51A7" w:rsidRPr="00824BF8" w:rsidRDefault="008B51A7" w:rsidP="008B51A7">
            <w:pPr>
              <w:pStyle w:val="SDMTableBoxParaNotNumbered"/>
              <w:rPr>
                <w:rFonts w:asciiTheme="minorHAnsi" w:hAnsiTheme="minorHAnsi"/>
                <w:color w:val="515151" w:themeColor="text1"/>
              </w:rPr>
            </w:pPr>
            <w:r w:rsidRPr="00824BF8">
              <w:rPr>
                <w:rFonts w:asciiTheme="minorHAnsi" w:hAnsiTheme="minorHAnsi"/>
                <w:color w:val="515151" w:themeColor="text1"/>
              </w:rPr>
              <w:t xml:space="preserve">Purpose of </w:t>
            </w:r>
            <w:r>
              <w:rPr>
                <w:rFonts w:asciiTheme="minorHAnsi" w:hAnsiTheme="minorHAnsi"/>
                <w:color w:val="515151" w:themeColor="text1"/>
              </w:rPr>
              <w:t>data</w:t>
            </w:r>
          </w:p>
        </w:tc>
        <w:tc>
          <w:tcPr>
            <w:tcW w:w="6978" w:type="dxa"/>
          </w:tcPr>
          <w:p w14:paraId="3D5B27BC" w14:textId="7F630406" w:rsidR="008B51A7" w:rsidRPr="00824BF8" w:rsidRDefault="008B51A7" w:rsidP="008B51A7">
            <w:pPr>
              <w:pStyle w:val="SDMTableBoxParaNotNumbered"/>
              <w:rPr>
                <w:rFonts w:asciiTheme="minorHAnsi" w:hAnsiTheme="minorHAnsi" w:cs="Arial"/>
                <w:color w:val="515151" w:themeColor="text1"/>
              </w:rPr>
            </w:pPr>
            <w:r w:rsidRPr="004E0EAB">
              <w:rPr>
                <w:rFonts w:asciiTheme="minorHAnsi" w:hAnsiTheme="minorHAnsi" w:cs="Arial"/>
                <w:color w:val="515151" w:themeColor="text1"/>
              </w:rPr>
              <w:t>Monitoring of GS parameter/SDG</w:t>
            </w:r>
          </w:p>
        </w:tc>
      </w:tr>
      <w:tr w:rsidR="008B51A7" w:rsidRPr="00575488" w14:paraId="30A2801B" w14:textId="77777777" w:rsidTr="00AA6E51">
        <w:trPr>
          <w:gridAfter w:val="1"/>
          <w:wAfter w:w="28" w:type="dxa"/>
        </w:trPr>
        <w:tc>
          <w:tcPr>
            <w:tcW w:w="2775" w:type="dxa"/>
          </w:tcPr>
          <w:p w14:paraId="20BB6314" w14:textId="77777777" w:rsidR="008B51A7" w:rsidRPr="00824BF8" w:rsidRDefault="008B51A7" w:rsidP="008B51A7">
            <w:pPr>
              <w:pStyle w:val="SDMTableBoxParaNotNumbered"/>
              <w:rPr>
                <w:rFonts w:asciiTheme="minorHAnsi" w:hAnsiTheme="minorHAnsi"/>
                <w:color w:val="515151" w:themeColor="text1"/>
              </w:rPr>
            </w:pPr>
            <w:r w:rsidRPr="00824BF8">
              <w:rPr>
                <w:rFonts w:asciiTheme="minorHAnsi" w:hAnsiTheme="minorHAnsi"/>
                <w:color w:val="515151" w:themeColor="text1"/>
              </w:rPr>
              <w:t>Additional comments</w:t>
            </w:r>
          </w:p>
        </w:tc>
        <w:tc>
          <w:tcPr>
            <w:tcW w:w="6978" w:type="dxa"/>
          </w:tcPr>
          <w:p w14:paraId="4FD4C550" w14:textId="77777777" w:rsidR="008B51A7" w:rsidRPr="00824BF8" w:rsidRDefault="008B51A7" w:rsidP="008B51A7">
            <w:pPr>
              <w:pStyle w:val="SDMTableBoxParaNotNumbered"/>
              <w:rPr>
                <w:rFonts w:asciiTheme="minorHAnsi" w:hAnsiTheme="minorHAnsi"/>
                <w:color w:val="515151" w:themeColor="text1"/>
              </w:rPr>
            </w:pPr>
            <w:r w:rsidRPr="00824BF8">
              <w:rPr>
                <w:rFonts w:asciiTheme="minorHAnsi" w:hAnsiTheme="minorHAnsi"/>
                <w:color w:val="515151" w:themeColor="text1"/>
              </w:rPr>
              <w:t>n/a</w:t>
            </w:r>
          </w:p>
        </w:tc>
      </w:tr>
    </w:tbl>
    <w:p w14:paraId="411D85EF" w14:textId="26E2F166" w:rsidR="00816579" w:rsidRDefault="00816579" w:rsidP="00816579"/>
    <w:tbl>
      <w:tblPr>
        <w:tblStyle w:val="GSTableBoldline-heightcondensed"/>
        <w:tblW w:w="9753" w:type="dxa"/>
        <w:tblLayout w:type="fixed"/>
        <w:tblLook w:val="01E0" w:firstRow="1" w:lastRow="1" w:firstColumn="1" w:lastColumn="1" w:noHBand="0" w:noVBand="0"/>
      </w:tblPr>
      <w:tblGrid>
        <w:gridCol w:w="2791"/>
        <w:gridCol w:w="6962"/>
      </w:tblGrid>
      <w:tr w:rsidR="0054763B" w:rsidRPr="00470065" w14:paraId="2EDC8240" w14:textId="77777777" w:rsidTr="006932CA">
        <w:trPr>
          <w:cnfStyle w:val="100000000000" w:firstRow="1" w:lastRow="0" w:firstColumn="0" w:lastColumn="0" w:oddVBand="0" w:evenVBand="0" w:oddHBand="0" w:evenHBand="0" w:firstRowFirstColumn="0" w:firstRowLastColumn="0" w:lastRowFirstColumn="0" w:lastRowLastColumn="0"/>
        </w:trPr>
        <w:tc>
          <w:tcPr>
            <w:tcW w:w="2791" w:type="dxa"/>
          </w:tcPr>
          <w:p w14:paraId="06EE1AFB" w14:textId="77777777" w:rsidR="0054763B" w:rsidRPr="00470065" w:rsidRDefault="0054763B" w:rsidP="006932CA">
            <w:pPr>
              <w:pStyle w:val="SDMTableBoxParaNotNumbered"/>
              <w:keepNext/>
              <w:keepLines/>
              <w:rPr>
                <w:rFonts w:asciiTheme="minorHAnsi" w:hAnsiTheme="minorHAnsi"/>
                <w:color w:val="FFFFFF" w:themeColor="background1"/>
              </w:rPr>
            </w:pPr>
            <w:r w:rsidRPr="00470065">
              <w:rPr>
                <w:rFonts w:asciiTheme="minorHAnsi" w:hAnsiTheme="minorHAnsi"/>
                <w:color w:val="FFFFFF" w:themeColor="background1"/>
              </w:rPr>
              <w:t>Relevant SDG Indicator/Safeguarding Principle</w:t>
            </w:r>
          </w:p>
        </w:tc>
        <w:tc>
          <w:tcPr>
            <w:tcW w:w="6962" w:type="dxa"/>
          </w:tcPr>
          <w:p w14:paraId="3998D83F" w14:textId="77777777" w:rsidR="0054763B" w:rsidRPr="0054763B" w:rsidRDefault="0054763B" w:rsidP="0054763B">
            <w:pPr>
              <w:pStyle w:val="Default"/>
              <w:rPr>
                <w:bCs/>
                <w:iCs/>
                <w:color w:val="FFFFFF" w:themeColor="background1"/>
                <w:szCs w:val="20"/>
              </w:rPr>
            </w:pPr>
            <w:r w:rsidRPr="0054763B">
              <w:rPr>
                <w:bCs/>
                <w:iCs/>
                <w:color w:val="FFFFFF" w:themeColor="background1"/>
                <w:szCs w:val="20"/>
              </w:rPr>
              <w:t>SDG 17, Target 17.7, Indicator 17.7.1;</w:t>
            </w:r>
          </w:p>
          <w:p w14:paraId="1412C356" w14:textId="37ACBAEF" w:rsidR="0054763B" w:rsidRPr="00470065" w:rsidRDefault="0054763B" w:rsidP="0054763B">
            <w:pPr>
              <w:pStyle w:val="Default"/>
              <w:rPr>
                <w:color w:val="FFFFFF" w:themeColor="background1"/>
                <w:szCs w:val="20"/>
              </w:rPr>
            </w:pPr>
            <w:r w:rsidRPr="0054763B">
              <w:rPr>
                <w:bCs/>
                <w:iCs/>
                <w:color w:val="FFFFFF" w:themeColor="background1"/>
                <w:szCs w:val="20"/>
              </w:rPr>
              <w:t>GS Monitoring Parameter 02: Quality of employment</w:t>
            </w:r>
          </w:p>
        </w:tc>
      </w:tr>
      <w:tr w:rsidR="0054763B" w:rsidRPr="00470065" w14:paraId="0C88F7C1" w14:textId="77777777" w:rsidTr="006932CA">
        <w:tc>
          <w:tcPr>
            <w:tcW w:w="2791" w:type="dxa"/>
          </w:tcPr>
          <w:p w14:paraId="5C7D9A14" w14:textId="77777777" w:rsidR="0054763B" w:rsidRPr="00824BF8" w:rsidRDefault="0054763B" w:rsidP="006932CA">
            <w:pPr>
              <w:pStyle w:val="SDMTableBoxParaNotNumbered"/>
              <w:rPr>
                <w:rFonts w:asciiTheme="minorHAnsi" w:hAnsiTheme="minorHAnsi"/>
                <w:color w:val="515151" w:themeColor="text1"/>
              </w:rPr>
            </w:pPr>
            <w:r>
              <w:rPr>
                <w:rFonts w:asciiTheme="minorHAnsi" w:hAnsiTheme="minorHAnsi"/>
                <w:color w:val="515151" w:themeColor="text1"/>
              </w:rPr>
              <w:t>Data/Parameter</w:t>
            </w:r>
          </w:p>
        </w:tc>
        <w:tc>
          <w:tcPr>
            <w:tcW w:w="6962" w:type="dxa"/>
          </w:tcPr>
          <w:p w14:paraId="598CE062" w14:textId="2F1560A4" w:rsidR="0054763B" w:rsidRPr="00470065" w:rsidRDefault="0054763B" w:rsidP="006932CA">
            <w:pPr>
              <w:pStyle w:val="SDMTableBoxParaNotNumbered"/>
              <w:rPr>
                <w:rFonts w:asciiTheme="minorHAnsi" w:hAnsiTheme="minorHAnsi" w:cs="Arial"/>
                <w:color w:val="515151" w:themeColor="text1"/>
              </w:rPr>
            </w:pPr>
            <w:r w:rsidRPr="0054763B">
              <w:rPr>
                <w:rFonts w:asciiTheme="minorHAnsi" w:hAnsiTheme="minorHAnsi"/>
                <w:color w:val="515151" w:themeColor="text1"/>
              </w:rPr>
              <w:t>Report on trainings for masons carried out up to the specific monitoring period</w:t>
            </w:r>
          </w:p>
        </w:tc>
      </w:tr>
      <w:tr w:rsidR="0054763B" w:rsidRPr="00824BF8" w14:paraId="354CE989" w14:textId="77777777" w:rsidTr="006932CA">
        <w:tc>
          <w:tcPr>
            <w:tcW w:w="2791" w:type="dxa"/>
          </w:tcPr>
          <w:p w14:paraId="7D956D05" w14:textId="77777777" w:rsidR="0054763B" w:rsidRPr="00824BF8" w:rsidRDefault="0054763B"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Unit</w:t>
            </w:r>
          </w:p>
        </w:tc>
        <w:tc>
          <w:tcPr>
            <w:tcW w:w="6962" w:type="dxa"/>
          </w:tcPr>
          <w:p w14:paraId="688444B6" w14:textId="7FC884C7" w:rsidR="0054763B" w:rsidRPr="00824BF8" w:rsidRDefault="003F51CD" w:rsidP="006932CA">
            <w:pPr>
              <w:pStyle w:val="SDMTableBoxParaNotNumbered"/>
              <w:rPr>
                <w:rFonts w:asciiTheme="minorHAnsi" w:hAnsiTheme="minorHAnsi" w:cs="Arial"/>
                <w:color w:val="515151" w:themeColor="text1"/>
              </w:rPr>
            </w:pPr>
            <w:r w:rsidRPr="003F51CD">
              <w:rPr>
                <w:rFonts w:asciiTheme="minorHAnsi" w:hAnsiTheme="minorHAnsi" w:cs="Arial"/>
                <w:color w:val="515151" w:themeColor="text1"/>
              </w:rPr>
              <w:t>Number of people trained</w:t>
            </w:r>
          </w:p>
        </w:tc>
      </w:tr>
      <w:tr w:rsidR="0054763B" w:rsidRPr="00824BF8" w14:paraId="4B0E01C8" w14:textId="77777777" w:rsidTr="006932CA">
        <w:tc>
          <w:tcPr>
            <w:tcW w:w="2791" w:type="dxa"/>
          </w:tcPr>
          <w:p w14:paraId="62A80A6E" w14:textId="77777777" w:rsidR="0054763B" w:rsidRPr="00824BF8" w:rsidRDefault="0054763B"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Description</w:t>
            </w:r>
          </w:p>
        </w:tc>
        <w:tc>
          <w:tcPr>
            <w:tcW w:w="6962" w:type="dxa"/>
          </w:tcPr>
          <w:p w14:paraId="63A4F9BF" w14:textId="68D31D73" w:rsidR="0054763B" w:rsidRPr="00824BF8" w:rsidRDefault="003F51CD" w:rsidP="006932CA">
            <w:pPr>
              <w:pStyle w:val="Default"/>
              <w:rPr>
                <w:rFonts w:asciiTheme="minorHAnsi" w:hAnsiTheme="minorHAnsi"/>
                <w:color w:val="515151" w:themeColor="text1"/>
                <w:szCs w:val="20"/>
              </w:rPr>
            </w:pPr>
            <w:r w:rsidRPr="003F51CD">
              <w:rPr>
                <w:rFonts w:asciiTheme="minorHAnsi" w:hAnsiTheme="minorHAnsi"/>
                <w:color w:val="515151" w:themeColor="text1"/>
                <w:szCs w:val="20"/>
              </w:rPr>
              <w:t>Masons and supervisors receive training in safe construction of a biogas unit.</w:t>
            </w:r>
          </w:p>
        </w:tc>
      </w:tr>
      <w:tr w:rsidR="0054763B" w:rsidRPr="00824BF8" w14:paraId="1E2BF7CF" w14:textId="77777777" w:rsidTr="006932CA">
        <w:tc>
          <w:tcPr>
            <w:tcW w:w="2791" w:type="dxa"/>
          </w:tcPr>
          <w:p w14:paraId="736736FC" w14:textId="77777777" w:rsidR="0054763B" w:rsidRPr="00824BF8" w:rsidRDefault="0054763B"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Source of data</w:t>
            </w:r>
          </w:p>
        </w:tc>
        <w:tc>
          <w:tcPr>
            <w:tcW w:w="6962" w:type="dxa"/>
          </w:tcPr>
          <w:p w14:paraId="59B55FE0" w14:textId="43CA7A00" w:rsidR="0054763B" w:rsidRPr="00824BF8" w:rsidRDefault="003F51CD" w:rsidP="006932CA">
            <w:pPr>
              <w:pStyle w:val="Default"/>
              <w:rPr>
                <w:rFonts w:asciiTheme="minorHAnsi" w:hAnsiTheme="minorHAnsi"/>
                <w:color w:val="515151" w:themeColor="text1"/>
              </w:rPr>
            </w:pPr>
            <w:r w:rsidRPr="003F51CD">
              <w:rPr>
                <w:rFonts w:asciiTheme="minorHAnsi" w:hAnsiTheme="minorHAnsi"/>
                <w:color w:val="515151" w:themeColor="text1"/>
                <w:szCs w:val="20"/>
              </w:rPr>
              <w:t>Training report and number of masons trained</w:t>
            </w:r>
          </w:p>
        </w:tc>
      </w:tr>
      <w:tr w:rsidR="0054763B" w:rsidRPr="00824BF8" w14:paraId="50A0F4A1" w14:textId="77777777" w:rsidTr="006932CA">
        <w:tc>
          <w:tcPr>
            <w:tcW w:w="2791" w:type="dxa"/>
          </w:tcPr>
          <w:p w14:paraId="17CE751A" w14:textId="77777777" w:rsidR="0054763B" w:rsidRPr="00824BF8" w:rsidRDefault="0054763B"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 xml:space="preserve">Value(s) </w:t>
            </w:r>
            <w:r>
              <w:rPr>
                <w:rFonts w:asciiTheme="minorHAnsi" w:hAnsiTheme="minorHAnsi"/>
                <w:color w:val="515151" w:themeColor="text1"/>
              </w:rPr>
              <w:t>applied</w:t>
            </w:r>
          </w:p>
        </w:tc>
        <w:tc>
          <w:tcPr>
            <w:tcW w:w="6962" w:type="dxa"/>
          </w:tcPr>
          <w:p w14:paraId="666F230F" w14:textId="20597302" w:rsidR="0054763B" w:rsidRPr="00824BF8" w:rsidRDefault="00921BAC" w:rsidP="00921BAC">
            <w:pPr>
              <w:pStyle w:val="SDMTableBoxParaNotNumbered"/>
              <w:rPr>
                <w:rFonts w:asciiTheme="minorHAnsi" w:hAnsiTheme="minorHAnsi" w:cs="Arial"/>
                <w:color w:val="515151" w:themeColor="text1"/>
              </w:rPr>
            </w:pPr>
            <w:r>
              <w:rPr>
                <w:rFonts w:asciiTheme="minorHAnsi" w:hAnsiTheme="minorHAnsi" w:cs="Arial"/>
                <w:color w:val="515151" w:themeColor="text1"/>
              </w:rPr>
              <w:t>7</w:t>
            </w:r>
          </w:p>
        </w:tc>
      </w:tr>
      <w:tr w:rsidR="0054763B" w:rsidRPr="00824BF8" w14:paraId="709D0F62" w14:textId="77777777" w:rsidTr="006932CA">
        <w:tc>
          <w:tcPr>
            <w:tcW w:w="2791" w:type="dxa"/>
          </w:tcPr>
          <w:p w14:paraId="49D599D5" w14:textId="77777777" w:rsidR="0054763B" w:rsidRPr="00824BF8" w:rsidRDefault="0054763B" w:rsidP="006932CA">
            <w:pPr>
              <w:pStyle w:val="SDMTableBoxParaNotNumbered"/>
              <w:keepNext/>
              <w:rPr>
                <w:rFonts w:asciiTheme="minorHAnsi" w:hAnsiTheme="minorHAnsi"/>
                <w:color w:val="515151" w:themeColor="text1"/>
              </w:rPr>
            </w:pPr>
            <w:r w:rsidRPr="00930659">
              <w:rPr>
                <w:rFonts w:asciiTheme="minorHAnsi" w:hAnsiTheme="minorHAnsi"/>
                <w:color w:val="515151" w:themeColor="text1"/>
              </w:rPr>
              <w:t>Measurement methods and procedures</w:t>
            </w:r>
          </w:p>
        </w:tc>
        <w:tc>
          <w:tcPr>
            <w:tcW w:w="6962" w:type="dxa"/>
          </w:tcPr>
          <w:p w14:paraId="227B55F3" w14:textId="5D0BB256" w:rsidR="0054763B" w:rsidRPr="00824BF8" w:rsidRDefault="003F51CD" w:rsidP="006932CA">
            <w:pPr>
              <w:pStyle w:val="SDMTableBoxParaNotNumbered"/>
              <w:keepNext/>
              <w:rPr>
                <w:rFonts w:asciiTheme="minorHAnsi" w:hAnsiTheme="minorHAnsi" w:cs="Arial"/>
                <w:color w:val="515151" w:themeColor="text1"/>
              </w:rPr>
            </w:pPr>
            <w:r w:rsidRPr="003F51CD">
              <w:rPr>
                <w:rFonts w:asciiTheme="minorHAnsi" w:hAnsiTheme="minorHAnsi" w:cs="Arial"/>
                <w:color w:val="515151" w:themeColor="text1"/>
              </w:rPr>
              <w:t>All masons working for the project have been trained. Staff figures are collected from working contracts.</w:t>
            </w:r>
          </w:p>
        </w:tc>
      </w:tr>
      <w:tr w:rsidR="0054763B" w:rsidRPr="00824BF8" w14:paraId="11858A63" w14:textId="77777777" w:rsidTr="006932CA">
        <w:tc>
          <w:tcPr>
            <w:tcW w:w="2791" w:type="dxa"/>
          </w:tcPr>
          <w:p w14:paraId="54642713" w14:textId="49B72BD7" w:rsidR="0054763B" w:rsidRPr="00824BF8" w:rsidRDefault="00AE2881" w:rsidP="006932CA">
            <w:pPr>
              <w:pStyle w:val="SDMTableBoxParaNotNumbered"/>
              <w:rPr>
                <w:rFonts w:asciiTheme="minorHAnsi" w:hAnsiTheme="minorHAnsi"/>
                <w:color w:val="515151" w:themeColor="text1"/>
              </w:rPr>
            </w:pPr>
            <w:r w:rsidRPr="00047217">
              <w:rPr>
                <w:rFonts w:asciiTheme="minorHAnsi" w:hAnsiTheme="minorHAnsi"/>
                <w:color w:val="515151" w:themeColor="text1"/>
              </w:rPr>
              <w:t>Monitoring</w:t>
            </w:r>
            <w:r w:rsidR="0054763B" w:rsidRPr="00824BF8">
              <w:rPr>
                <w:rFonts w:asciiTheme="minorHAnsi" w:hAnsiTheme="minorHAnsi"/>
                <w:color w:val="515151" w:themeColor="text1"/>
              </w:rPr>
              <w:t xml:space="preserve"> frequency</w:t>
            </w:r>
          </w:p>
        </w:tc>
        <w:tc>
          <w:tcPr>
            <w:tcW w:w="6962" w:type="dxa"/>
          </w:tcPr>
          <w:p w14:paraId="213BE323" w14:textId="1319A8C8" w:rsidR="0054763B" w:rsidRPr="00824BF8" w:rsidRDefault="00AE2881" w:rsidP="006932CA">
            <w:pPr>
              <w:pStyle w:val="SDMTableBoxParaNotNumbered"/>
              <w:rPr>
                <w:rFonts w:asciiTheme="minorHAnsi" w:hAnsiTheme="minorHAnsi" w:cs="Arial"/>
                <w:color w:val="515151" w:themeColor="text1"/>
              </w:rPr>
            </w:pPr>
            <w:r w:rsidRPr="002805DC">
              <w:rPr>
                <w:rFonts w:asciiTheme="minorHAnsi" w:hAnsiTheme="minorHAnsi" w:cs="Arial"/>
                <w:color w:val="515151" w:themeColor="text1"/>
              </w:rPr>
              <w:t>Once per monitoring period</w:t>
            </w:r>
            <w:r>
              <w:rPr>
                <w:rFonts w:asciiTheme="minorHAnsi" w:hAnsiTheme="minorHAnsi" w:cs="Arial"/>
                <w:color w:val="515151" w:themeColor="text1"/>
              </w:rPr>
              <w:t>.</w:t>
            </w:r>
          </w:p>
        </w:tc>
      </w:tr>
      <w:tr w:rsidR="0054763B" w:rsidRPr="00824BF8" w14:paraId="1C685B63" w14:textId="77777777" w:rsidTr="006932CA">
        <w:tc>
          <w:tcPr>
            <w:tcW w:w="2791" w:type="dxa"/>
          </w:tcPr>
          <w:p w14:paraId="4B1AB52E" w14:textId="77777777" w:rsidR="0054763B" w:rsidRPr="00824BF8" w:rsidRDefault="0054763B"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QA/QC procedures</w:t>
            </w:r>
          </w:p>
        </w:tc>
        <w:tc>
          <w:tcPr>
            <w:tcW w:w="6962" w:type="dxa"/>
          </w:tcPr>
          <w:p w14:paraId="5AA58EE9" w14:textId="56C6D558" w:rsidR="0054763B" w:rsidRPr="00824BF8" w:rsidRDefault="003F51CD" w:rsidP="006932CA">
            <w:pPr>
              <w:pStyle w:val="Default"/>
              <w:spacing w:after="240"/>
              <w:rPr>
                <w:rFonts w:asciiTheme="minorHAnsi" w:hAnsiTheme="minorHAnsi"/>
                <w:color w:val="515151" w:themeColor="text1"/>
              </w:rPr>
            </w:pPr>
            <w:r w:rsidRPr="003F51CD">
              <w:rPr>
                <w:rFonts w:asciiTheme="minorHAnsi" w:hAnsiTheme="minorHAnsi"/>
                <w:color w:val="515151" w:themeColor="text1"/>
                <w:szCs w:val="20"/>
              </w:rPr>
              <w:t>Working contracts are stored by SES. Also, a manual with special safety instructions for masons was created.</w:t>
            </w:r>
          </w:p>
        </w:tc>
      </w:tr>
      <w:tr w:rsidR="0054763B" w:rsidRPr="00824BF8" w14:paraId="76AFA274" w14:textId="77777777" w:rsidTr="006932CA">
        <w:tc>
          <w:tcPr>
            <w:tcW w:w="2791" w:type="dxa"/>
          </w:tcPr>
          <w:p w14:paraId="6A86972A" w14:textId="5A6CB3AE" w:rsidR="0054763B" w:rsidRPr="00824BF8" w:rsidRDefault="0054763B" w:rsidP="00AE2881">
            <w:pPr>
              <w:pStyle w:val="SDMTableBoxParaNotNumbered"/>
              <w:rPr>
                <w:rFonts w:asciiTheme="minorHAnsi" w:hAnsiTheme="minorHAnsi"/>
                <w:color w:val="515151" w:themeColor="text1"/>
              </w:rPr>
            </w:pPr>
            <w:r w:rsidRPr="00824BF8">
              <w:rPr>
                <w:rFonts w:asciiTheme="minorHAnsi" w:hAnsiTheme="minorHAnsi"/>
                <w:color w:val="515151" w:themeColor="text1"/>
              </w:rPr>
              <w:t>Purpose of data</w:t>
            </w:r>
          </w:p>
        </w:tc>
        <w:tc>
          <w:tcPr>
            <w:tcW w:w="6962" w:type="dxa"/>
          </w:tcPr>
          <w:p w14:paraId="48621AEC" w14:textId="77777777" w:rsidR="0054763B" w:rsidRPr="00824BF8" w:rsidRDefault="0054763B" w:rsidP="006932CA">
            <w:pPr>
              <w:pStyle w:val="SDMTableBoxParaNotNumbered"/>
              <w:rPr>
                <w:rFonts w:asciiTheme="minorHAnsi" w:hAnsiTheme="minorHAnsi" w:cs="Arial"/>
                <w:color w:val="515151" w:themeColor="text1"/>
              </w:rPr>
            </w:pPr>
            <w:r w:rsidRPr="004E0EAB">
              <w:rPr>
                <w:rFonts w:asciiTheme="minorHAnsi" w:hAnsiTheme="minorHAnsi" w:cs="Arial"/>
                <w:color w:val="515151" w:themeColor="text1"/>
              </w:rPr>
              <w:t>Monitoring of GS parameter/SDG</w:t>
            </w:r>
          </w:p>
        </w:tc>
      </w:tr>
      <w:tr w:rsidR="0054763B" w:rsidRPr="00824BF8" w14:paraId="52F08014" w14:textId="77777777" w:rsidTr="006932CA">
        <w:tc>
          <w:tcPr>
            <w:tcW w:w="2791" w:type="dxa"/>
          </w:tcPr>
          <w:p w14:paraId="4AF82A5C" w14:textId="77777777" w:rsidR="0054763B" w:rsidRPr="00824BF8" w:rsidRDefault="0054763B"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Additional comments</w:t>
            </w:r>
          </w:p>
        </w:tc>
        <w:tc>
          <w:tcPr>
            <w:tcW w:w="6962" w:type="dxa"/>
          </w:tcPr>
          <w:p w14:paraId="2D7DECC1" w14:textId="77777777" w:rsidR="0054763B" w:rsidRPr="00824BF8" w:rsidRDefault="0054763B"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n/a</w:t>
            </w:r>
          </w:p>
        </w:tc>
      </w:tr>
    </w:tbl>
    <w:p w14:paraId="6B53A836" w14:textId="5B5A4BBA" w:rsidR="0054763B" w:rsidRDefault="0054763B" w:rsidP="00816579"/>
    <w:tbl>
      <w:tblPr>
        <w:tblStyle w:val="GSTableBoldline-heightcondensed"/>
        <w:tblW w:w="9753" w:type="dxa"/>
        <w:tblLayout w:type="fixed"/>
        <w:tblLook w:val="01E0" w:firstRow="1" w:lastRow="1" w:firstColumn="1" w:lastColumn="1" w:noHBand="0" w:noVBand="0"/>
      </w:tblPr>
      <w:tblGrid>
        <w:gridCol w:w="2791"/>
        <w:gridCol w:w="6962"/>
      </w:tblGrid>
      <w:tr w:rsidR="002805DC" w:rsidRPr="00470065" w14:paraId="2AC659B2" w14:textId="77777777" w:rsidTr="006932CA">
        <w:trPr>
          <w:cnfStyle w:val="100000000000" w:firstRow="1" w:lastRow="0" w:firstColumn="0" w:lastColumn="0" w:oddVBand="0" w:evenVBand="0" w:oddHBand="0" w:evenHBand="0" w:firstRowFirstColumn="0" w:firstRowLastColumn="0" w:lastRowFirstColumn="0" w:lastRowLastColumn="0"/>
        </w:trPr>
        <w:tc>
          <w:tcPr>
            <w:tcW w:w="2791" w:type="dxa"/>
          </w:tcPr>
          <w:p w14:paraId="2A2285AC" w14:textId="77777777" w:rsidR="002805DC" w:rsidRPr="00470065" w:rsidRDefault="002805DC" w:rsidP="006932CA">
            <w:pPr>
              <w:pStyle w:val="SDMTableBoxParaNotNumbered"/>
              <w:keepNext/>
              <w:keepLines/>
              <w:rPr>
                <w:rFonts w:asciiTheme="minorHAnsi" w:hAnsiTheme="minorHAnsi"/>
                <w:color w:val="FFFFFF" w:themeColor="background1"/>
              </w:rPr>
            </w:pPr>
            <w:r w:rsidRPr="00470065">
              <w:rPr>
                <w:rFonts w:asciiTheme="minorHAnsi" w:hAnsiTheme="minorHAnsi"/>
                <w:color w:val="FFFFFF" w:themeColor="background1"/>
              </w:rPr>
              <w:t>Relevant SDG Indicator/Safeguarding Principle</w:t>
            </w:r>
          </w:p>
        </w:tc>
        <w:tc>
          <w:tcPr>
            <w:tcW w:w="6962" w:type="dxa"/>
          </w:tcPr>
          <w:p w14:paraId="05F7F9E6" w14:textId="77777777" w:rsidR="002805DC" w:rsidRPr="002805DC" w:rsidRDefault="002805DC" w:rsidP="002805DC">
            <w:pPr>
              <w:pStyle w:val="Default"/>
              <w:rPr>
                <w:bCs/>
                <w:iCs/>
                <w:color w:val="FFFFFF" w:themeColor="background1"/>
                <w:szCs w:val="20"/>
              </w:rPr>
            </w:pPr>
            <w:r w:rsidRPr="002805DC">
              <w:rPr>
                <w:bCs/>
                <w:iCs/>
                <w:color w:val="FFFFFF" w:themeColor="background1"/>
                <w:szCs w:val="20"/>
              </w:rPr>
              <w:t>SDG 7; Target 7.1, Indicator 7.1.2;</w:t>
            </w:r>
          </w:p>
          <w:p w14:paraId="7F6397E0" w14:textId="153A9C49" w:rsidR="002805DC" w:rsidRPr="00470065" w:rsidRDefault="002805DC" w:rsidP="002805DC">
            <w:pPr>
              <w:pStyle w:val="Default"/>
              <w:rPr>
                <w:color w:val="FFFFFF" w:themeColor="background1"/>
                <w:szCs w:val="20"/>
              </w:rPr>
            </w:pPr>
            <w:r w:rsidRPr="002805DC">
              <w:rPr>
                <w:bCs/>
                <w:iCs/>
                <w:color w:val="FFFFFF" w:themeColor="background1"/>
                <w:szCs w:val="20"/>
              </w:rPr>
              <w:t>GS Monitoring Parameter 03: Access to affordable and clean energy services</w:t>
            </w:r>
          </w:p>
        </w:tc>
      </w:tr>
      <w:tr w:rsidR="002805DC" w:rsidRPr="00470065" w14:paraId="4E047149" w14:textId="77777777" w:rsidTr="006932CA">
        <w:tc>
          <w:tcPr>
            <w:tcW w:w="2791" w:type="dxa"/>
          </w:tcPr>
          <w:p w14:paraId="166BDC1B" w14:textId="77777777" w:rsidR="002805DC" w:rsidRPr="00824BF8" w:rsidRDefault="002805DC" w:rsidP="006932CA">
            <w:pPr>
              <w:pStyle w:val="SDMTableBoxParaNotNumbered"/>
              <w:rPr>
                <w:rFonts w:asciiTheme="minorHAnsi" w:hAnsiTheme="minorHAnsi"/>
                <w:color w:val="515151" w:themeColor="text1"/>
              </w:rPr>
            </w:pPr>
            <w:r>
              <w:rPr>
                <w:rFonts w:asciiTheme="minorHAnsi" w:hAnsiTheme="minorHAnsi"/>
                <w:color w:val="515151" w:themeColor="text1"/>
              </w:rPr>
              <w:t>Data/Parameter</w:t>
            </w:r>
          </w:p>
        </w:tc>
        <w:tc>
          <w:tcPr>
            <w:tcW w:w="6962" w:type="dxa"/>
          </w:tcPr>
          <w:p w14:paraId="42E7B480" w14:textId="54FCE1DF" w:rsidR="002805DC" w:rsidRPr="00470065" w:rsidRDefault="002805DC" w:rsidP="006932CA">
            <w:pPr>
              <w:pStyle w:val="SDMTableBoxParaNotNumbered"/>
              <w:rPr>
                <w:rFonts w:asciiTheme="minorHAnsi" w:hAnsiTheme="minorHAnsi" w:cs="Arial"/>
                <w:color w:val="515151" w:themeColor="text1"/>
              </w:rPr>
            </w:pPr>
            <w:r w:rsidRPr="002805DC">
              <w:rPr>
                <w:rFonts w:asciiTheme="minorHAnsi" w:hAnsiTheme="minorHAnsi"/>
                <w:color w:val="515151" w:themeColor="text1"/>
              </w:rPr>
              <w:t>Thermal capacity of commissioned biogas units</w:t>
            </w:r>
          </w:p>
        </w:tc>
      </w:tr>
      <w:tr w:rsidR="002805DC" w:rsidRPr="00824BF8" w14:paraId="0A48FEAF" w14:textId="77777777" w:rsidTr="006932CA">
        <w:tc>
          <w:tcPr>
            <w:tcW w:w="2791" w:type="dxa"/>
          </w:tcPr>
          <w:p w14:paraId="1B7ACEBF"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Unit</w:t>
            </w:r>
          </w:p>
        </w:tc>
        <w:tc>
          <w:tcPr>
            <w:tcW w:w="6962" w:type="dxa"/>
          </w:tcPr>
          <w:p w14:paraId="515A24F7" w14:textId="189E1FEC" w:rsidR="002805DC" w:rsidRPr="00824BF8" w:rsidRDefault="008B51A7" w:rsidP="006932CA">
            <w:pPr>
              <w:pStyle w:val="SDMTableBoxParaNotNumbered"/>
              <w:rPr>
                <w:rFonts w:asciiTheme="minorHAnsi" w:hAnsiTheme="minorHAnsi" w:cs="Arial"/>
                <w:color w:val="515151" w:themeColor="text1"/>
              </w:rPr>
            </w:pPr>
            <w:r>
              <w:rPr>
                <w:rFonts w:asciiTheme="minorHAnsi" w:hAnsiTheme="minorHAnsi" w:cs="Arial"/>
                <w:color w:val="515151" w:themeColor="text1"/>
              </w:rPr>
              <w:t>MW</w:t>
            </w:r>
          </w:p>
        </w:tc>
      </w:tr>
      <w:tr w:rsidR="002805DC" w:rsidRPr="00824BF8" w14:paraId="3AD4D6F0" w14:textId="77777777" w:rsidTr="006932CA">
        <w:tc>
          <w:tcPr>
            <w:tcW w:w="2791" w:type="dxa"/>
          </w:tcPr>
          <w:p w14:paraId="2D5F4915"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Description</w:t>
            </w:r>
          </w:p>
        </w:tc>
        <w:tc>
          <w:tcPr>
            <w:tcW w:w="6962" w:type="dxa"/>
          </w:tcPr>
          <w:p w14:paraId="3B836560" w14:textId="5F1AF51F" w:rsidR="002805DC" w:rsidRPr="00824BF8" w:rsidRDefault="002805DC" w:rsidP="006932CA">
            <w:pPr>
              <w:pStyle w:val="Default"/>
              <w:rPr>
                <w:rFonts w:asciiTheme="minorHAnsi" w:hAnsiTheme="minorHAnsi"/>
                <w:color w:val="515151" w:themeColor="text1"/>
                <w:szCs w:val="20"/>
              </w:rPr>
            </w:pPr>
            <w:r w:rsidRPr="002805DC">
              <w:rPr>
                <w:rFonts w:asciiTheme="minorHAnsi" w:hAnsiTheme="minorHAnsi"/>
                <w:color w:val="515151" w:themeColor="text1"/>
                <w:szCs w:val="20"/>
              </w:rPr>
              <w:t xml:space="preserve">Targeted households do not use clean energy before switching to biogas; they use firewood, kerosene and LPG for cooking. Biogas is </w:t>
            </w:r>
            <w:r w:rsidRPr="002805DC">
              <w:rPr>
                <w:rFonts w:asciiTheme="minorHAnsi" w:hAnsiTheme="minorHAnsi"/>
                <w:color w:val="515151" w:themeColor="text1"/>
                <w:szCs w:val="20"/>
              </w:rPr>
              <w:lastRenderedPageBreak/>
              <w:t>a clean energy source and cow dung needed for production available without extra costs for households with at least 2 cows.</w:t>
            </w:r>
          </w:p>
        </w:tc>
      </w:tr>
      <w:tr w:rsidR="002805DC" w:rsidRPr="00824BF8" w14:paraId="6D429A88" w14:textId="77777777" w:rsidTr="006932CA">
        <w:tc>
          <w:tcPr>
            <w:tcW w:w="2791" w:type="dxa"/>
          </w:tcPr>
          <w:p w14:paraId="12467E78"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lastRenderedPageBreak/>
              <w:t>Source of data</w:t>
            </w:r>
          </w:p>
        </w:tc>
        <w:tc>
          <w:tcPr>
            <w:tcW w:w="6962" w:type="dxa"/>
          </w:tcPr>
          <w:p w14:paraId="356E8DCC" w14:textId="4496EB58" w:rsidR="002805DC" w:rsidRPr="00824BF8" w:rsidRDefault="002805DC" w:rsidP="006932CA">
            <w:pPr>
              <w:pStyle w:val="Default"/>
              <w:rPr>
                <w:rFonts w:asciiTheme="minorHAnsi" w:hAnsiTheme="minorHAnsi"/>
                <w:color w:val="515151" w:themeColor="text1"/>
              </w:rPr>
            </w:pPr>
            <w:r w:rsidRPr="002805DC">
              <w:rPr>
                <w:rFonts w:asciiTheme="minorHAnsi" w:hAnsiTheme="minorHAnsi"/>
                <w:color w:val="515151" w:themeColor="text1"/>
                <w:szCs w:val="20"/>
              </w:rPr>
              <w:t>Commissioning Database and calculation of thermal capacity according to equation provided in the CDM-PDD</w:t>
            </w:r>
            <w:r w:rsidR="00BF4D15">
              <w:rPr>
                <w:rFonts w:asciiTheme="minorHAnsi" w:hAnsiTheme="minorHAnsi"/>
                <w:color w:val="515151" w:themeColor="text1"/>
                <w:szCs w:val="20"/>
              </w:rPr>
              <w:t>, Section B.2</w:t>
            </w:r>
          </w:p>
        </w:tc>
      </w:tr>
      <w:tr w:rsidR="002805DC" w:rsidRPr="00824BF8" w14:paraId="1734A009" w14:textId="77777777" w:rsidTr="006932CA">
        <w:tc>
          <w:tcPr>
            <w:tcW w:w="2791" w:type="dxa"/>
          </w:tcPr>
          <w:p w14:paraId="2F2F41ED"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 xml:space="preserve">Value(s) </w:t>
            </w:r>
            <w:r>
              <w:rPr>
                <w:rFonts w:asciiTheme="minorHAnsi" w:hAnsiTheme="minorHAnsi"/>
                <w:color w:val="515151" w:themeColor="text1"/>
              </w:rPr>
              <w:t>applied</w:t>
            </w:r>
          </w:p>
        </w:tc>
        <w:tc>
          <w:tcPr>
            <w:tcW w:w="6962" w:type="dxa"/>
          </w:tcPr>
          <w:p w14:paraId="4300F7F1" w14:textId="2C3B19D8" w:rsidR="002805DC" w:rsidRPr="00824BF8" w:rsidRDefault="008B51A7" w:rsidP="002805DC">
            <w:pPr>
              <w:pStyle w:val="SDMTableBoxParaNotNumbered"/>
              <w:rPr>
                <w:rFonts w:asciiTheme="minorHAnsi" w:hAnsiTheme="minorHAnsi" w:cs="Arial"/>
                <w:color w:val="515151" w:themeColor="text1"/>
              </w:rPr>
            </w:pPr>
            <w:r>
              <w:rPr>
                <w:rFonts w:asciiTheme="minorHAnsi" w:hAnsiTheme="minorHAnsi" w:cs="Arial"/>
                <w:color w:val="515151" w:themeColor="text1"/>
              </w:rPr>
              <w:t>2.641</w:t>
            </w:r>
          </w:p>
        </w:tc>
      </w:tr>
      <w:tr w:rsidR="002805DC" w:rsidRPr="00824BF8" w14:paraId="05F615E1" w14:textId="77777777" w:rsidTr="006932CA">
        <w:tc>
          <w:tcPr>
            <w:tcW w:w="2791" w:type="dxa"/>
          </w:tcPr>
          <w:p w14:paraId="58EC37AF" w14:textId="77777777" w:rsidR="002805DC" w:rsidRPr="00824BF8" w:rsidRDefault="002805DC" w:rsidP="006932CA">
            <w:pPr>
              <w:pStyle w:val="SDMTableBoxParaNotNumbered"/>
              <w:keepNext/>
              <w:rPr>
                <w:rFonts w:asciiTheme="minorHAnsi" w:hAnsiTheme="minorHAnsi"/>
                <w:color w:val="515151" w:themeColor="text1"/>
              </w:rPr>
            </w:pPr>
            <w:r w:rsidRPr="00930659">
              <w:rPr>
                <w:rFonts w:asciiTheme="minorHAnsi" w:hAnsiTheme="minorHAnsi"/>
                <w:color w:val="515151" w:themeColor="text1"/>
              </w:rPr>
              <w:t>Measurement methods and procedures</w:t>
            </w:r>
          </w:p>
        </w:tc>
        <w:tc>
          <w:tcPr>
            <w:tcW w:w="6962" w:type="dxa"/>
          </w:tcPr>
          <w:p w14:paraId="79211A2C" w14:textId="07BCCF5D" w:rsidR="002805DC" w:rsidRPr="00824BF8" w:rsidRDefault="002805DC" w:rsidP="006932CA">
            <w:pPr>
              <w:pStyle w:val="SDMTableBoxParaNotNumbered"/>
              <w:keepNext/>
              <w:rPr>
                <w:rFonts w:asciiTheme="minorHAnsi" w:hAnsiTheme="minorHAnsi" w:cs="Arial"/>
                <w:color w:val="515151" w:themeColor="text1"/>
              </w:rPr>
            </w:pPr>
            <w:r w:rsidRPr="002805DC">
              <w:rPr>
                <w:rFonts w:asciiTheme="minorHAnsi" w:hAnsiTheme="minorHAnsi" w:cs="Arial"/>
                <w:color w:val="515151" w:themeColor="text1"/>
              </w:rPr>
              <w:t>Calculation of thermal capacity according to equation</w:t>
            </w:r>
            <w:r>
              <w:rPr>
                <w:rFonts w:asciiTheme="minorHAnsi" w:hAnsiTheme="minorHAnsi" w:cs="Arial"/>
                <w:color w:val="515151" w:themeColor="text1"/>
              </w:rPr>
              <w:t xml:space="preserve"> provided in the registered PDD.</w:t>
            </w:r>
          </w:p>
        </w:tc>
      </w:tr>
      <w:tr w:rsidR="002805DC" w:rsidRPr="00824BF8" w14:paraId="4248380F" w14:textId="77777777" w:rsidTr="006932CA">
        <w:tc>
          <w:tcPr>
            <w:tcW w:w="2791" w:type="dxa"/>
          </w:tcPr>
          <w:p w14:paraId="4CB21102" w14:textId="17360ECD" w:rsidR="002805DC" w:rsidRPr="00824BF8" w:rsidRDefault="00AE2881" w:rsidP="006932CA">
            <w:pPr>
              <w:pStyle w:val="SDMTableBoxParaNotNumbered"/>
              <w:rPr>
                <w:rFonts w:asciiTheme="minorHAnsi" w:hAnsiTheme="minorHAnsi"/>
                <w:color w:val="515151" w:themeColor="text1"/>
              </w:rPr>
            </w:pPr>
            <w:r w:rsidRPr="00047217">
              <w:rPr>
                <w:rFonts w:asciiTheme="minorHAnsi" w:hAnsiTheme="minorHAnsi"/>
                <w:color w:val="515151" w:themeColor="text1"/>
              </w:rPr>
              <w:t>Monitoring</w:t>
            </w:r>
            <w:r w:rsidR="002805DC" w:rsidRPr="00824BF8">
              <w:rPr>
                <w:rFonts w:asciiTheme="minorHAnsi" w:hAnsiTheme="minorHAnsi"/>
                <w:color w:val="515151" w:themeColor="text1"/>
              </w:rPr>
              <w:t xml:space="preserve"> frequency</w:t>
            </w:r>
          </w:p>
        </w:tc>
        <w:tc>
          <w:tcPr>
            <w:tcW w:w="6962" w:type="dxa"/>
          </w:tcPr>
          <w:p w14:paraId="66436360" w14:textId="10419C3A" w:rsidR="002805DC" w:rsidRPr="00824BF8" w:rsidRDefault="002805DC" w:rsidP="006932CA">
            <w:pPr>
              <w:pStyle w:val="SDMTableBoxParaNotNumbered"/>
              <w:rPr>
                <w:rFonts w:asciiTheme="minorHAnsi" w:hAnsiTheme="minorHAnsi" w:cs="Arial"/>
                <w:color w:val="515151" w:themeColor="text1"/>
              </w:rPr>
            </w:pPr>
            <w:r w:rsidRPr="002805DC">
              <w:rPr>
                <w:rFonts w:asciiTheme="minorHAnsi" w:hAnsiTheme="minorHAnsi" w:cs="Arial"/>
                <w:color w:val="515151" w:themeColor="text1"/>
              </w:rPr>
              <w:t>Data is collected continuously, computation of thermal capacity once per monitoring period</w:t>
            </w:r>
          </w:p>
        </w:tc>
      </w:tr>
      <w:tr w:rsidR="002805DC" w:rsidRPr="008B51A7" w14:paraId="7D1C61EE" w14:textId="77777777" w:rsidTr="006932CA">
        <w:tc>
          <w:tcPr>
            <w:tcW w:w="2791" w:type="dxa"/>
          </w:tcPr>
          <w:p w14:paraId="679B7DA6"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QA/QC procedures</w:t>
            </w:r>
          </w:p>
        </w:tc>
        <w:tc>
          <w:tcPr>
            <w:tcW w:w="6962" w:type="dxa"/>
          </w:tcPr>
          <w:p w14:paraId="53304037" w14:textId="774F6D00" w:rsidR="002805DC" w:rsidRPr="00824BF8" w:rsidRDefault="008B51A7" w:rsidP="006932CA">
            <w:pPr>
              <w:pStyle w:val="Default"/>
              <w:spacing w:after="240"/>
              <w:rPr>
                <w:rFonts w:asciiTheme="minorHAnsi" w:hAnsiTheme="minorHAnsi"/>
                <w:color w:val="515151" w:themeColor="text1"/>
              </w:rPr>
            </w:pPr>
            <w:r>
              <w:rPr>
                <w:rFonts w:asciiTheme="minorHAnsi" w:hAnsiTheme="minorHAnsi"/>
                <w:color w:val="515151" w:themeColor="text1"/>
                <w:szCs w:val="20"/>
              </w:rPr>
              <w:t>Data was</w:t>
            </w:r>
            <w:r w:rsidR="002805DC" w:rsidRPr="002805DC">
              <w:rPr>
                <w:rFonts w:asciiTheme="minorHAnsi" w:hAnsiTheme="minorHAnsi"/>
                <w:color w:val="515151" w:themeColor="text1"/>
                <w:szCs w:val="20"/>
              </w:rPr>
              <w:t xml:space="preserve"> collected using the standard procedures as described in an intern</w:t>
            </w:r>
            <w:r>
              <w:rPr>
                <w:rFonts w:asciiTheme="minorHAnsi" w:hAnsiTheme="minorHAnsi"/>
                <w:color w:val="515151" w:themeColor="text1"/>
                <w:szCs w:val="20"/>
              </w:rPr>
              <w:t>al Monitoring Manual and is</w:t>
            </w:r>
            <w:r w:rsidR="002805DC" w:rsidRPr="002805DC">
              <w:rPr>
                <w:rFonts w:asciiTheme="minorHAnsi" w:hAnsiTheme="minorHAnsi"/>
                <w:color w:val="515151" w:themeColor="text1"/>
                <w:szCs w:val="20"/>
              </w:rPr>
              <w:t xml:space="preserve"> stored for the crediting period and an additional two years.</w:t>
            </w:r>
          </w:p>
        </w:tc>
      </w:tr>
      <w:tr w:rsidR="002805DC" w:rsidRPr="00824BF8" w14:paraId="63AE2DF2" w14:textId="77777777" w:rsidTr="006932CA">
        <w:tc>
          <w:tcPr>
            <w:tcW w:w="2791" w:type="dxa"/>
          </w:tcPr>
          <w:p w14:paraId="44E5F380" w14:textId="0FE29A3A" w:rsidR="002805DC" w:rsidRPr="00824BF8" w:rsidRDefault="002805DC" w:rsidP="00AE2881">
            <w:pPr>
              <w:pStyle w:val="SDMTableBoxParaNotNumbered"/>
              <w:rPr>
                <w:rFonts w:asciiTheme="minorHAnsi" w:hAnsiTheme="minorHAnsi"/>
                <w:color w:val="515151" w:themeColor="text1"/>
              </w:rPr>
            </w:pPr>
            <w:r w:rsidRPr="00824BF8">
              <w:rPr>
                <w:rFonts w:asciiTheme="minorHAnsi" w:hAnsiTheme="minorHAnsi"/>
                <w:color w:val="515151" w:themeColor="text1"/>
              </w:rPr>
              <w:t>Purpose of data</w:t>
            </w:r>
          </w:p>
        </w:tc>
        <w:tc>
          <w:tcPr>
            <w:tcW w:w="6962" w:type="dxa"/>
          </w:tcPr>
          <w:p w14:paraId="44BB6212" w14:textId="77777777" w:rsidR="002805DC" w:rsidRPr="00824BF8" w:rsidRDefault="002805DC" w:rsidP="006932CA">
            <w:pPr>
              <w:pStyle w:val="SDMTableBoxParaNotNumbered"/>
              <w:rPr>
                <w:rFonts w:asciiTheme="minorHAnsi" w:hAnsiTheme="minorHAnsi" w:cs="Arial"/>
                <w:color w:val="515151" w:themeColor="text1"/>
              </w:rPr>
            </w:pPr>
            <w:r w:rsidRPr="004E0EAB">
              <w:rPr>
                <w:rFonts w:asciiTheme="minorHAnsi" w:hAnsiTheme="minorHAnsi" w:cs="Arial"/>
                <w:color w:val="515151" w:themeColor="text1"/>
              </w:rPr>
              <w:t>Monitoring of GS parameter/SDG</w:t>
            </w:r>
          </w:p>
        </w:tc>
      </w:tr>
      <w:tr w:rsidR="002805DC" w:rsidRPr="00824BF8" w14:paraId="519E67F9" w14:textId="77777777" w:rsidTr="006932CA">
        <w:tc>
          <w:tcPr>
            <w:tcW w:w="2791" w:type="dxa"/>
          </w:tcPr>
          <w:p w14:paraId="2C257BDA"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Additional comments</w:t>
            </w:r>
          </w:p>
        </w:tc>
        <w:tc>
          <w:tcPr>
            <w:tcW w:w="6962" w:type="dxa"/>
          </w:tcPr>
          <w:p w14:paraId="350D12FE"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n/a</w:t>
            </w:r>
          </w:p>
        </w:tc>
      </w:tr>
    </w:tbl>
    <w:p w14:paraId="3218024D" w14:textId="2C30E959" w:rsidR="002805DC" w:rsidRDefault="002805DC" w:rsidP="00816579"/>
    <w:tbl>
      <w:tblPr>
        <w:tblStyle w:val="GSTableBoldline-heightcondensed"/>
        <w:tblW w:w="9753" w:type="dxa"/>
        <w:tblLayout w:type="fixed"/>
        <w:tblLook w:val="01E0" w:firstRow="1" w:lastRow="1" w:firstColumn="1" w:lastColumn="1" w:noHBand="0" w:noVBand="0"/>
      </w:tblPr>
      <w:tblGrid>
        <w:gridCol w:w="2791"/>
        <w:gridCol w:w="6962"/>
      </w:tblGrid>
      <w:tr w:rsidR="002805DC" w:rsidRPr="00470065" w14:paraId="0EDF54E2" w14:textId="77777777" w:rsidTr="006932CA">
        <w:trPr>
          <w:cnfStyle w:val="100000000000" w:firstRow="1" w:lastRow="0" w:firstColumn="0" w:lastColumn="0" w:oddVBand="0" w:evenVBand="0" w:oddHBand="0" w:evenHBand="0" w:firstRowFirstColumn="0" w:firstRowLastColumn="0" w:lastRowFirstColumn="0" w:lastRowLastColumn="0"/>
        </w:trPr>
        <w:tc>
          <w:tcPr>
            <w:tcW w:w="2791" w:type="dxa"/>
          </w:tcPr>
          <w:p w14:paraId="1D2D7BE6" w14:textId="77777777" w:rsidR="002805DC" w:rsidRPr="00470065" w:rsidRDefault="002805DC" w:rsidP="006932CA">
            <w:pPr>
              <w:pStyle w:val="SDMTableBoxParaNotNumbered"/>
              <w:keepNext/>
              <w:keepLines/>
              <w:rPr>
                <w:rFonts w:asciiTheme="minorHAnsi" w:hAnsiTheme="minorHAnsi"/>
                <w:color w:val="FFFFFF" w:themeColor="background1"/>
              </w:rPr>
            </w:pPr>
            <w:r w:rsidRPr="00470065">
              <w:rPr>
                <w:rFonts w:asciiTheme="minorHAnsi" w:hAnsiTheme="minorHAnsi"/>
                <w:color w:val="FFFFFF" w:themeColor="background1"/>
              </w:rPr>
              <w:t>Relevant SDG Indicator/Safeguarding Principle</w:t>
            </w:r>
          </w:p>
        </w:tc>
        <w:tc>
          <w:tcPr>
            <w:tcW w:w="6962" w:type="dxa"/>
          </w:tcPr>
          <w:p w14:paraId="03B32891" w14:textId="77777777" w:rsidR="002805DC" w:rsidRPr="002805DC" w:rsidRDefault="002805DC" w:rsidP="002805DC">
            <w:pPr>
              <w:pStyle w:val="Default"/>
              <w:rPr>
                <w:bCs/>
                <w:iCs/>
                <w:color w:val="FFFFFF" w:themeColor="background1"/>
                <w:szCs w:val="20"/>
              </w:rPr>
            </w:pPr>
            <w:r w:rsidRPr="002805DC">
              <w:rPr>
                <w:bCs/>
                <w:iCs/>
                <w:color w:val="FFFFFF" w:themeColor="background1"/>
                <w:szCs w:val="20"/>
              </w:rPr>
              <w:t>SDG 8; Target 8.5., Indicator 8.5.2</w:t>
            </w:r>
          </w:p>
          <w:p w14:paraId="0B27E2C0" w14:textId="77777777" w:rsidR="002805DC" w:rsidRPr="002805DC" w:rsidRDefault="002805DC" w:rsidP="002805DC">
            <w:pPr>
              <w:pStyle w:val="Default"/>
              <w:rPr>
                <w:bCs/>
                <w:iCs/>
                <w:color w:val="FFFFFF" w:themeColor="background1"/>
                <w:szCs w:val="20"/>
              </w:rPr>
            </w:pPr>
            <w:r w:rsidRPr="002805DC">
              <w:rPr>
                <w:bCs/>
                <w:iCs/>
                <w:color w:val="FFFFFF" w:themeColor="background1"/>
                <w:szCs w:val="20"/>
              </w:rPr>
              <w:t>SDG 17, Target 17.7, Indicator 17.7.1;</w:t>
            </w:r>
          </w:p>
          <w:p w14:paraId="3FCBF769" w14:textId="14328957" w:rsidR="002805DC" w:rsidRPr="00470065" w:rsidRDefault="002805DC" w:rsidP="002805DC">
            <w:pPr>
              <w:pStyle w:val="Default"/>
              <w:rPr>
                <w:color w:val="FFFFFF" w:themeColor="background1"/>
                <w:szCs w:val="20"/>
              </w:rPr>
            </w:pPr>
            <w:r w:rsidRPr="002805DC">
              <w:rPr>
                <w:bCs/>
                <w:iCs/>
                <w:color w:val="FFFFFF" w:themeColor="background1"/>
                <w:szCs w:val="20"/>
              </w:rPr>
              <w:t>GS Monitoring Parameter 04: Quantitative employment and income generation</w:t>
            </w:r>
          </w:p>
        </w:tc>
      </w:tr>
      <w:tr w:rsidR="002805DC" w:rsidRPr="00470065" w14:paraId="5302FB11" w14:textId="77777777" w:rsidTr="006932CA">
        <w:tc>
          <w:tcPr>
            <w:tcW w:w="2791" w:type="dxa"/>
          </w:tcPr>
          <w:p w14:paraId="28C81E7F" w14:textId="77777777" w:rsidR="002805DC" w:rsidRPr="00824BF8" w:rsidRDefault="002805DC" w:rsidP="006932CA">
            <w:pPr>
              <w:pStyle w:val="SDMTableBoxParaNotNumbered"/>
              <w:rPr>
                <w:rFonts w:asciiTheme="minorHAnsi" w:hAnsiTheme="minorHAnsi"/>
                <w:color w:val="515151" w:themeColor="text1"/>
              </w:rPr>
            </w:pPr>
            <w:r>
              <w:rPr>
                <w:rFonts w:asciiTheme="minorHAnsi" w:hAnsiTheme="minorHAnsi"/>
                <w:color w:val="515151" w:themeColor="text1"/>
              </w:rPr>
              <w:t>Data/Parameter</w:t>
            </w:r>
          </w:p>
        </w:tc>
        <w:tc>
          <w:tcPr>
            <w:tcW w:w="6962" w:type="dxa"/>
          </w:tcPr>
          <w:p w14:paraId="2046B10D" w14:textId="6ED78010" w:rsidR="002805DC" w:rsidRPr="00470065" w:rsidRDefault="002805DC" w:rsidP="006932CA">
            <w:pPr>
              <w:pStyle w:val="SDMTableBoxParaNotNumbered"/>
              <w:rPr>
                <w:rFonts w:asciiTheme="minorHAnsi" w:hAnsiTheme="minorHAnsi" w:cs="Arial"/>
                <w:color w:val="515151" w:themeColor="text1"/>
              </w:rPr>
            </w:pPr>
            <w:r w:rsidRPr="002805DC">
              <w:rPr>
                <w:rFonts w:asciiTheme="minorHAnsi" w:hAnsiTheme="minorHAnsi"/>
                <w:color w:val="515151" w:themeColor="text1"/>
              </w:rPr>
              <w:t>Number of masons working for SES in the specific monitoring period</w:t>
            </w:r>
          </w:p>
        </w:tc>
      </w:tr>
      <w:tr w:rsidR="002805DC" w:rsidRPr="00824BF8" w14:paraId="7491B8E2" w14:textId="77777777" w:rsidTr="006932CA">
        <w:tc>
          <w:tcPr>
            <w:tcW w:w="2791" w:type="dxa"/>
          </w:tcPr>
          <w:p w14:paraId="34668F9F"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Unit</w:t>
            </w:r>
          </w:p>
        </w:tc>
        <w:tc>
          <w:tcPr>
            <w:tcW w:w="6962" w:type="dxa"/>
          </w:tcPr>
          <w:p w14:paraId="5DA0956F" w14:textId="30F7D1CB" w:rsidR="002805DC" w:rsidRPr="00824BF8" w:rsidRDefault="002805DC" w:rsidP="006932CA">
            <w:pPr>
              <w:pStyle w:val="SDMTableBoxParaNotNumbered"/>
              <w:rPr>
                <w:rFonts w:asciiTheme="minorHAnsi" w:hAnsiTheme="minorHAnsi" w:cs="Arial"/>
                <w:color w:val="515151" w:themeColor="text1"/>
              </w:rPr>
            </w:pPr>
            <w:r w:rsidRPr="002805DC">
              <w:rPr>
                <w:rFonts w:asciiTheme="minorHAnsi" w:hAnsiTheme="minorHAnsi" w:cs="Arial"/>
                <w:color w:val="515151" w:themeColor="text1"/>
              </w:rPr>
              <w:t>Employment number</w:t>
            </w:r>
          </w:p>
        </w:tc>
      </w:tr>
      <w:tr w:rsidR="002805DC" w:rsidRPr="00824BF8" w14:paraId="25B80872" w14:textId="77777777" w:rsidTr="006932CA">
        <w:tc>
          <w:tcPr>
            <w:tcW w:w="2791" w:type="dxa"/>
          </w:tcPr>
          <w:p w14:paraId="156EB615"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Description</w:t>
            </w:r>
          </w:p>
        </w:tc>
        <w:tc>
          <w:tcPr>
            <w:tcW w:w="6962" w:type="dxa"/>
          </w:tcPr>
          <w:p w14:paraId="534C0065" w14:textId="79BEBD5C" w:rsidR="002805DC" w:rsidRPr="00824BF8" w:rsidRDefault="002805DC" w:rsidP="006932CA">
            <w:pPr>
              <w:pStyle w:val="Default"/>
              <w:rPr>
                <w:rFonts w:asciiTheme="minorHAnsi" w:hAnsiTheme="minorHAnsi"/>
                <w:color w:val="515151" w:themeColor="text1"/>
                <w:szCs w:val="20"/>
              </w:rPr>
            </w:pPr>
            <w:r w:rsidRPr="002805DC">
              <w:rPr>
                <w:rFonts w:asciiTheme="minorHAnsi" w:hAnsiTheme="minorHAnsi"/>
                <w:color w:val="515151" w:themeColor="text1"/>
                <w:szCs w:val="20"/>
              </w:rPr>
              <w:t>The project creates jobs for masons and unskilled labor.</w:t>
            </w:r>
          </w:p>
        </w:tc>
      </w:tr>
      <w:tr w:rsidR="002805DC" w:rsidRPr="00824BF8" w14:paraId="608D3A7F" w14:textId="77777777" w:rsidTr="006932CA">
        <w:tc>
          <w:tcPr>
            <w:tcW w:w="2791" w:type="dxa"/>
          </w:tcPr>
          <w:p w14:paraId="2028CA84"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Source of data</w:t>
            </w:r>
          </w:p>
        </w:tc>
        <w:tc>
          <w:tcPr>
            <w:tcW w:w="6962" w:type="dxa"/>
          </w:tcPr>
          <w:p w14:paraId="57EE0045" w14:textId="7095F186" w:rsidR="002805DC" w:rsidRPr="00824BF8" w:rsidRDefault="002805DC" w:rsidP="006932CA">
            <w:pPr>
              <w:pStyle w:val="Default"/>
              <w:rPr>
                <w:rFonts w:asciiTheme="minorHAnsi" w:hAnsiTheme="minorHAnsi"/>
                <w:color w:val="515151" w:themeColor="text1"/>
              </w:rPr>
            </w:pPr>
            <w:r w:rsidRPr="002805DC">
              <w:rPr>
                <w:rFonts w:asciiTheme="minorHAnsi" w:hAnsiTheme="minorHAnsi"/>
                <w:color w:val="515151" w:themeColor="text1"/>
                <w:szCs w:val="20"/>
              </w:rPr>
              <w:t>Staff figures reported by SES</w:t>
            </w:r>
          </w:p>
        </w:tc>
      </w:tr>
      <w:tr w:rsidR="002805DC" w:rsidRPr="00824BF8" w14:paraId="5C848A16" w14:textId="77777777" w:rsidTr="006932CA">
        <w:tc>
          <w:tcPr>
            <w:tcW w:w="2791" w:type="dxa"/>
          </w:tcPr>
          <w:p w14:paraId="2509F567"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 xml:space="preserve">Value(s) </w:t>
            </w:r>
            <w:r>
              <w:rPr>
                <w:rFonts w:asciiTheme="minorHAnsi" w:hAnsiTheme="minorHAnsi"/>
                <w:color w:val="515151" w:themeColor="text1"/>
              </w:rPr>
              <w:t>applied</w:t>
            </w:r>
          </w:p>
        </w:tc>
        <w:tc>
          <w:tcPr>
            <w:tcW w:w="6962" w:type="dxa"/>
          </w:tcPr>
          <w:p w14:paraId="0A182D0A" w14:textId="5DB2D2E7" w:rsidR="002805DC" w:rsidRPr="00921BAC" w:rsidRDefault="00921BAC">
            <w:pPr>
              <w:pStyle w:val="SDMTableBoxParaNotNumbered"/>
              <w:rPr>
                <w:rFonts w:asciiTheme="minorHAnsi" w:hAnsiTheme="minorHAnsi" w:cs="Arial"/>
                <w:color w:val="515151" w:themeColor="text1"/>
                <w:lang w:val="en-US"/>
              </w:rPr>
            </w:pPr>
            <w:r>
              <w:rPr>
                <w:rFonts w:asciiTheme="minorHAnsi" w:hAnsiTheme="minorHAnsi" w:cs="Arial"/>
                <w:color w:val="515151" w:themeColor="text1"/>
              </w:rPr>
              <w:t>40</w:t>
            </w:r>
          </w:p>
        </w:tc>
      </w:tr>
      <w:tr w:rsidR="002805DC" w:rsidRPr="00824BF8" w14:paraId="244162AD" w14:textId="77777777" w:rsidTr="006932CA">
        <w:tc>
          <w:tcPr>
            <w:tcW w:w="2791" w:type="dxa"/>
          </w:tcPr>
          <w:p w14:paraId="63B24355" w14:textId="77777777" w:rsidR="002805DC" w:rsidRPr="00824BF8" w:rsidRDefault="002805DC" w:rsidP="006932CA">
            <w:pPr>
              <w:pStyle w:val="SDMTableBoxParaNotNumbered"/>
              <w:keepNext/>
              <w:rPr>
                <w:rFonts w:asciiTheme="minorHAnsi" w:hAnsiTheme="minorHAnsi"/>
                <w:color w:val="515151" w:themeColor="text1"/>
              </w:rPr>
            </w:pPr>
            <w:r w:rsidRPr="00930659">
              <w:rPr>
                <w:rFonts w:asciiTheme="minorHAnsi" w:hAnsiTheme="minorHAnsi"/>
                <w:color w:val="515151" w:themeColor="text1"/>
              </w:rPr>
              <w:t>Measurement methods and procedures</w:t>
            </w:r>
          </w:p>
        </w:tc>
        <w:tc>
          <w:tcPr>
            <w:tcW w:w="6962" w:type="dxa"/>
          </w:tcPr>
          <w:p w14:paraId="48CE0FCF" w14:textId="46DFCFDD" w:rsidR="002805DC" w:rsidRPr="00824BF8" w:rsidRDefault="002805DC" w:rsidP="006932CA">
            <w:pPr>
              <w:pStyle w:val="SDMTableBoxParaNotNumbered"/>
              <w:keepNext/>
              <w:rPr>
                <w:rFonts w:asciiTheme="minorHAnsi" w:hAnsiTheme="minorHAnsi" w:cs="Arial"/>
                <w:color w:val="515151" w:themeColor="text1"/>
              </w:rPr>
            </w:pPr>
            <w:r w:rsidRPr="002805DC">
              <w:rPr>
                <w:rFonts w:asciiTheme="minorHAnsi" w:hAnsiTheme="minorHAnsi" w:cs="Arial"/>
                <w:color w:val="515151" w:themeColor="text1"/>
              </w:rPr>
              <w:t>Staff figures are collected from working contracts</w:t>
            </w:r>
          </w:p>
        </w:tc>
      </w:tr>
      <w:tr w:rsidR="002805DC" w:rsidRPr="00824BF8" w14:paraId="05F732E3" w14:textId="77777777" w:rsidTr="006932CA">
        <w:tc>
          <w:tcPr>
            <w:tcW w:w="2791" w:type="dxa"/>
          </w:tcPr>
          <w:p w14:paraId="7B733E97" w14:textId="03436F0D" w:rsidR="002805DC" w:rsidRPr="00824BF8" w:rsidRDefault="00AE2881" w:rsidP="006932CA">
            <w:pPr>
              <w:pStyle w:val="SDMTableBoxParaNotNumbered"/>
              <w:rPr>
                <w:rFonts w:asciiTheme="minorHAnsi" w:hAnsiTheme="minorHAnsi"/>
                <w:color w:val="515151" w:themeColor="text1"/>
              </w:rPr>
            </w:pPr>
            <w:r w:rsidRPr="00047217">
              <w:rPr>
                <w:rFonts w:asciiTheme="minorHAnsi" w:hAnsiTheme="minorHAnsi"/>
                <w:color w:val="515151" w:themeColor="text1"/>
              </w:rPr>
              <w:t>Monitoring</w:t>
            </w:r>
            <w:r w:rsidR="002805DC" w:rsidRPr="00824BF8">
              <w:rPr>
                <w:rFonts w:asciiTheme="minorHAnsi" w:hAnsiTheme="minorHAnsi"/>
                <w:color w:val="515151" w:themeColor="text1"/>
              </w:rPr>
              <w:t xml:space="preserve"> frequency</w:t>
            </w:r>
          </w:p>
        </w:tc>
        <w:tc>
          <w:tcPr>
            <w:tcW w:w="6962" w:type="dxa"/>
          </w:tcPr>
          <w:p w14:paraId="0F352C75" w14:textId="6E527640" w:rsidR="002805DC" w:rsidRPr="00824BF8" w:rsidRDefault="002805DC" w:rsidP="006932CA">
            <w:pPr>
              <w:pStyle w:val="SDMTableBoxParaNotNumbered"/>
              <w:rPr>
                <w:rFonts w:asciiTheme="minorHAnsi" w:hAnsiTheme="minorHAnsi" w:cs="Arial"/>
                <w:color w:val="515151" w:themeColor="text1"/>
              </w:rPr>
            </w:pPr>
            <w:r w:rsidRPr="002805DC">
              <w:rPr>
                <w:rFonts w:asciiTheme="minorHAnsi" w:hAnsiTheme="minorHAnsi" w:cs="Arial"/>
                <w:color w:val="515151" w:themeColor="text1"/>
              </w:rPr>
              <w:t>Once per monitoring period</w:t>
            </w:r>
            <w:r>
              <w:rPr>
                <w:rFonts w:asciiTheme="minorHAnsi" w:hAnsiTheme="minorHAnsi" w:cs="Arial"/>
                <w:color w:val="515151" w:themeColor="text1"/>
              </w:rPr>
              <w:t>.</w:t>
            </w:r>
          </w:p>
        </w:tc>
      </w:tr>
      <w:tr w:rsidR="002805DC" w:rsidRPr="00824BF8" w14:paraId="1F591DCB" w14:textId="77777777" w:rsidTr="006932CA">
        <w:tc>
          <w:tcPr>
            <w:tcW w:w="2791" w:type="dxa"/>
          </w:tcPr>
          <w:p w14:paraId="7767F2A6"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QA/QC procedures</w:t>
            </w:r>
          </w:p>
        </w:tc>
        <w:tc>
          <w:tcPr>
            <w:tcW w:w="6962" w:type="dxa"/>
          </w:tcPr>
          <w:p w14:paraId="69D4AF61" w14:textId="6035A564" w:rsidR="002805DC" w:rsidRPr="00824BF8" w:rsidRDefault="002805DC" w:rsidP="006932CA">
            <w:pPr>
              <w:pStyle w:val="Default"/>
              <w:spacing w:after="240"/>
              <w:rPr>
                <w:rFonts w:asciiTheme="minorHAnsi" w:hAnsiTheme="minorHAnsi"/>
                <w:color w:val="515151" w:themeColor="text1"/>
              </w:rPr>
            </w:pPr>
            <w:r w:rsidRPr="002805DC">
              <w:rPr>
                <w:rFonts w:asciiTheme="minorHAnsi" w:hAnsiTheme="minorHAnsi"/>
                <w:color w:val="515151" w:themeColor="text1"/>
                <w:szCs w:val="20"/>
              </w:rPr>
              <w:t>Working contracts are stored by SES.</w:t>
            </w:r>
          </w:p>
        </w:tc>
      </w:tr>
      <w:tr w:rsidR="002805DC" w:rsidRPr="00824BF8" w14:paraId="09A3B576" w14:textId="77777777" w:rsidTr="006932CA">
        <w:tc>
          <w:tcPr>
            <w:tcW w:w="2791" w:type="dxa"/>
          </w:tcPr>
          <w:p w14:paraId="38D8AA65" w14:textId="4D08003E" w:rsidR="002805DC" w:rsidRPr="00824BF8" w:rsidRDefault="002805DC" w:rsidP="00AE2881">
            <w:pPr>
              <w:pStyle w:val="SDMTableBoxParaNotNumbered"/>
              <w:rPr>
                <w:rFonts w:asciiTheme="minorHAnsi" w:hAnsiTheme="minorHAnsi"/>
                <w:color w:val="515151" w:themeColor="text1"/>
              </w:rPr>
            </w:pPr>
            <w:r w:rsidRPr="00824BF8">
              <w:rPr>
                <w:rFonts w:asciiTheme="minorHAnsi" w:hAnsiTheme="minorHAnsi"/>
                <w:color w:val="515151" w:themeColor="text1"/>
              </w:rPr>
              <w:t>Purpose of data</w:t>
            </w:r>
          </w:p>
        </w:tc>
        <w:tc>
          <w:tcPr>
            <w:tcW w:w="6962" w:type="dxa"/>
          </w:tcPr>
          <w:p w14:paraId="6B0DC0A0" w14:textId="77777777" w:rsidR="002805DC" w:rsidRPr="00824BF8" w:rsidRDefault="002805DC" w:rsidP="006932CA">
            <w:pPr>
              <w:pStyle w:val="SDMTableBoxParaNotNumbered"/>
              <w:rPr>
                <w:rFonts w:asciiTheme="minorHAnsi" w:hAnsiTheme="minorHAnsi" w:cs="Arial"/>
                <w:color w:val="515151" w:themeColor="text1"/>
              </w:rPr>
            </w:pPr>
            <w:r w:rsidRPr="004E0EAB">
              <w:rPr>
                <w:rFonts w:asciiTheme="minorHAnsi" w:hAnsiTheme="minorHAnsi" w:cs="Arial"/>
                <w:color w:val="515151" w:themeColor="text1"/>
              </w:rPr>
              <w:t>Monitoring of GS parameter/SDG</w:t>
            </w:r>
          </w:p>
        </w:tc>
      </w:tr>
      <w:tr w:rsidR="002805DC" w:rsidRPr="00824BF8" w14:paraId="7959F5D7" w14:textId="77777777" w:rsidTr="006932CA">
        <w:tc>
          <w:tcPr>
            <w:tcW w:w="2791" w:type="dxa"/>
          </w:tcPr>
          <w:p w14:paraId="687522BE"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Additional comments</w:t>
            </w:r>
          </w:p>
        </w:tc>
        <w:tc>
          <w:tcPr>
            <w:tcW w:w="6962" w:type="dxa"/>
          </w:tcPr>
          <w:p w14:paraId="70C2B9AC" w14:textId="77777777" w:rsidR="002805DC" w:rsidRPr="00824BF8" w:rsidRDefault="002805DC" w:rsidP="006932CA">
            <w:pPr>
              <w:pStyle w:val="SDMTableBoxParaNotNumbered"/>
              <w:rPr>
                <w:rFonts w:asciiTheme="minorHAnsi" w:hAnsiTheme="minorHAnsi"/>
                <w:color w:val="515151" w:themeColor="text1"/>
              </w:rPr>
            </w:pPr>
            <w:r w:rsidRPr="00824BF8">
              <w:rPr>
                <w:rFonts w:asciiTheme="minorHAnsi" w:hAnsiTheme="minorHAnsi"/>
                <w:color w:val="515151" w:themeColor="text1"/>
              </w:rPr>
              <w:t>n/a</w:t>
            </w:r>
          </w:p>
        </w:tc>
      </w:tr>
    </w:tbl>
    <w:p w14:paraId="6B74C4D6" w14:textId="77777777" w:rsidR="002805DC" w:rsidRPr="003B1DEE" w:rsidRDefault="002805DC" w:rsidP="00816579"/>
    <w:p w14:paraId="6D4B21F4" w14:textId="77777777" w:rsidR="00B5792C" w:rsidRDefault="00465B23" w:rsidP="00465B23">
      <w:pPr>
        <w:pStyle w:val="Heading5"/>
      </w:pPr>
      <w:bookmarkStart w:id="31" w:name="_Toc341456040"/>
      <w:bookmarkStart w:id="32" w:name="_Toc40962778"/>
      <w:r>
        <w:t xml:space="preserve">D.3. </w:t>
      </w:r>
      <w:r w:rsidR="00816579">
        <w:t>Comparison of monitored parameters with last monitoring period</w:t>
      </w:r>
    </w:p>
    <w:p w14:paraId="598B9028" w14:textId="7796BFDB" w:rsidR="00816579" w:rsidRPr="004714F2" w:rsidRDefault="00816579" w:rsidP="00465B23">
      <w:pPr>
        <w:pStyle w:val="Heading5"/>
      </w:pPr>
    </w:p>
    <w:tbl>
      <w:tblPr>
        <w:tblStyle w:val="GSTableBoldline-heightcondensed"/>
        <w:tblW w:w="0" w:type="auto"/>
        <w:tblCellMar>
          <w:top w:w="57" w:type="dxa"/>
          <w:left w:w="57" w:type="dxa"/>
        </w:tblCellMar>
        <w:tblLook w:val="04A0" w:firstRow="1" w:lastRow="0" w:firstColumn="1" w:lastColumn="0" w:noHBand="0" w:noVBand="1"/>
      </w:tblPr>
      <w:tblGrid>
        <w:gridCol w:w="2699"/>
        <w:gridCol w:w="3538"/>
        <w:gridCol w:w="3395"/>
      </w:tblGrid>
      <w:tr w:rsidR="00816579" w:rsidRPr="00E51EF3" w14:paraId="5E20E11B" w14:textId="77777777" w:rsidTr="00301BEC">
        <w:trPr>
          <w:cnfStyle w:val="100000000000" w:firstRow="1" w:lastRow="0" w:firstColumn="0" w:lastColumn="0" w:oddVBand="0" w:evenVBand="0" w:oddHBand="0" w:evenHBand="0" w:firstRowFirstColumn="0" w:firstRowLastColumn="0" w:lastRowFirstColumn="0" w:lastRowLastColumn="0"/>
        </w:trPr>
        <w:tc>
          <w:tcPr>
            <w:tcW w:w="2698" w:type="dxa"/>
            <w:vAlign w:val="top"/>
          </w:tcPr>
          <w:p w14:paraId="5A2629B8" w14:textId="77777777" w:rsidR="00816579" w:rsidRPr="00E51EF3" w:rsidRDefault="00816579" w:rsidP="00E51EF3">
            <w:pPr>
              <w:spacing w:line="276" w:lineRule="auto"/>
              <w:rPr>
                <w:rFonts w:asciiTheme="minorHAnsi" w:hAnsiTheme="minorHAnsi"/>
                <w:color w:val="FFFFFF" w:themeColor="background1"/>
                <w:sz w:val="20"/>
              </w:rPr>
            </w:pPr>
            <w:r w:rsidRPr="00E51EF3">
              <w:rPr>
                <w:rFonts w:asciiTheme="minorHAnsi" w:hAnsiTheme="minorHAnsi"/>
                <w:color w:val="FFFFFF" w:themeColor="background1"/>
                <w:sz w:val="20"/>
              </w:rPr>
              <w:t>Data/Parameter</w:t>
            </w:r>
          </w:p>
        </w:tc>
        <w:tc>
          <w:tcPr>
            <w:tcW w:w="3539" w:type="dxa"/>
            <w:vAlign w:val="top"/>
          </w:tcPr>
          <w:p w14:paraId="051B53DC" w14:textId="77777777" w:rsidR="00816579" w:rsidRPr="00E51EF3" w:rsidRDefault="00816579" w:rsidP="00E51EF3">
            <w:pPr>
              <w:spacing w:line="276" w:lineRule="auto"/>
              <w:rPr>
                <w:rFonts w:asciiTheme="minorHAnsi" w:hAnsiTheme="minorHAnsi"/>
                <w:color w:val="FFFFFF" w:themeColor="background1"/>
                <w:sz w:val="20"/>
              </w:rPr>
            </w:pPr>
            <w:r w:rsidRPr="00E51EF3">
              <w:rPr>
                <w:rFonts w:asciiTheme="minorHAnsi" w:hAnsiTheme="minorHAnsi"/>
                <w:color w:val="FFFFFF" w:themeColor="background1"/>
                <w:sz w:val="20"/>
              </w:rPr>
              <w:t>Value obtained in this monitoring period</w:t>
            </w:r>
          </w:p>
        </w:tc>
        <w:tc>
          <w:tcPr>
            <w:tcW w:w="3395" w:type="dxa"/>
            <w:vAlign w:val="top"/>
          </w:tcPr>
          <w:p w14:paraId="046CD480" w14:textId="77777777" w:rsidR="00816579" w:rsidRPr="00E51EF3" w:rsidRDefault="00816579" w:rsidP="00E51EF3">
            <w:pPr>
              <w:spacing w:line="276" w:lineRule="auto"/>
              <w:rPr>
                <w:rFonts w:asciiTheme="minorHAnsi" w:hAnsiTheme="minorHAnsi"/>
                <w:color w:val="FFFFFF" w:themeColor="background1"/>
                <w:sz w:val="20"/>
              </w:rPr>
            </w:pPr>
            <w:r w:rsidRPr="00E51EF3">
              <w:rPr>
                <w:rFonts w:asciiTheme="minorHAnsi" w:hAnsiTheme="minorHAnsi"/>
                <w:color w:val="FFFFFF" w:themeColor="background1"/>
                <w:sz w:val="20"/>
              </w:rPr>
              <w:t>Value obtained last monitoring period</w:t>
            </w:r>
          </w:p>
        </w:tc>
      </w:tr>
      <w:tr w:rsidR="00A64B63" w:rsidRPr="00E51EF3" w14:paraId="0BFE8DC5" w14:textId="77777777" w:rsidTr="00301BEC">
        <w:tc>
          <w:tcPr>
            <w:tcW w:w="2698" w:type="dxa"/>
          </w:tcPr>
          <w:p w14:paraId="0DBAAEDF" w14:textId="659D95CA" w:rsidR="00A64B63" w:rsidRPr="00E51EF3" w:rsidRDefault="00477CEE" w:rsidP="00A64B63">
            <w:pPr>
              <w:spacing w:line="276" w:lineRule="auto"/>
              <w:rPr>
                <w:rFonts w:asciiTheme="minorHAnsi" w:hAnsiTheme="minorHAnsi"/>
                <w:color w:val="FFFFFF" w:themeColor="background1"/>
                <w:sz w:val="20"/>
              </w:rPr>
            </w:pPr>
            <m:oMath>
              <m:sSub>
                <m:sSubPr>
                  <m:ctrlPr>
                    <w:rPr>
                      <w:rFonts w:ascii="Cambria Math" w:hAnsi="Cambria Math"/>
                      <w:i/>
                      <w:sz w:val="20"/>
                    </w:rPr>
                  </m:ctrlPr>
                </m:sSubPr>
                <m:e>
                  <m:r>
                    <w:rPr>
                      <w:rFonts w:ascii="Cambria Math" w:hAnsi="Cambria Math"/>
                      <w:sz w:val="20"/>
                    </w:rPr>
                    <m:t>N</m:t>
                  </m:r>
                </m:e>
                <m:sub>
                  <m:r>
                    <w:rPr>
                      <w:rFonts w:ascii="Cambria Math" w:hAnsi="Cambria Math"/>
                      <w:sz w:val="20"/>
                    </w:rPr>
                    <m:t>y</m:t>
                  </m:r>
                </m:sub>
              </m:sSub>
            </m:oMath>
            <w:r w:rsidR="00A64B63">
              <w:rPr>
                <w:rFonts w:asciiTheme="minorHAnsi" w:eastAsiaTheme="minorEastAsia" w:hAnsiTheme="minorHAnsi"/>
                <w:sz w:val="20"/>
              </w:rPr>
              <w:t xml:space="preserve"> Number of installed biogas units</w:t>
            </w:r>
          </w:p>
        </w:tc>
        <w:tc>
          <w:tcPr>
            <w:tcW w:w="3539" w:type="dxa"/>
          </w:tcPr>
          <w:p w14:paraId="4DD3534A" w14:textId="1FB83E43" w:rsidR="00A64B63" w:rsidRPr="00E51EF3" w:rsidRDefault="00A64B63" w:rsidP="008B51A7">
            <w:pPr>
              <w:spacing w:line="276" w:lineRule="auto"/>
              <w:rPr>
                <w:rFonts w:asciiTheme="minorHAnsi" w:hAnsiTheme="minorHAnsi"/>
                <w:color w:val="FFFFFF" w:themeColor="background1"/>
                <w:sz w:val="20"/>
              </w:rPr>
            </w:pPr>
            <w:r>
              <w:rPr>
                <w:rFonts w:asciiTheme="minorHAnsi" w:hAnsiTheme="minorHAnsi"/>
                <w:sz w:val="20"/>
              </w:rPr>
              <w:t>79</w:t>
            </w:r>
            <w:r w:rsidR="008B51A7">
              <w:rPr>
                <w:rFonts w:asciiTheme="minorHAnsi" w:hAnsiTheme="minorHAnsi"/>
                <w:sz w:val="20"/>
              </w:rPr>
              <w:t xml:space="preserve">6 </w:t>
            </w:r>
            <w:r>
              <w:rPr>
                <w:rFonts w:asciiTheme="minorHAnsi" w:hAnsiTheme="minorHAnsi"/>
                <w:sz w:val="20"/>
              </w:rPr>
              <w:t>units</w:t>
            </w:r>
          </w:p>
        </w:tc>
        <w:tc>
          <w:tcPr>
            <w:tcW w:w="3395" w:type="dxa"/>
          </w:tcPr>
          <w:p w14:paraId="3F2F1327" w14:textId="30785E4E" w:rsidR="00A64B63" w:rsidRPr="00E51EF3" w:rsidRDefault="00A64B63" w:rsidP="00A64B63">
            <w:pPr>
              <w:spacing w:line="276" w:lineRule="auto"/>
              <w:rPr>
                <w:rFonts w:asciiTheme="minorHAnsi" w:hAnsiTheme="minorHAnsi"/>
                <w:color w:val="FFFFFF" w:themeColor="background1"/>
                <w:sz w:val="20"/>
              </w:rPr>
            </w:pPr>
            <w:r>
              <w:rPr>
                <w:rFonts w:asciiTheme="minorHAnsi" w:hAnsiTheme="minorHAnsi"/>
                <w:sz w:val="20"/>
              </w:rPr>
              <w:t>704 units</w:t>
            </w:r>
          </w:p>
        </w:tc>
      </w:tr>
      <w:tr w:rsidR="00A64B63" w:rsidRPr="00E51EF3" w14:paraId="19CDCC2B" w14:textId="77777777" w:rsidTr="00301BEC">
        <w:tc>
          <w:tcPr>
            <w:tcW w:w="2698" w:type="dxa"/>
          </w:tcPr>
          <w:p w14:paraId="241629F9" w14:textId="1023A49C" w:rsidR="00A64B63" w:rsidRPr="00401533" w:rsidRDefault="00401533" w:rsidP="00A64B63">
            <w:pPr>
              <w:spacing w:line="276" w:lineRule="auto"/>
              <w:rPr>
                <w:rFonts w:eastAsia="Verdana"/>
                <w:sz w:val="20"/>
                <w:szCs w:val="20"/>
              </w:rPr>
            </w:pPr>
            <w:r w:rsidRPr="00A55140">
              <w:rPr>
                <w:rFonts w:asciiTheme="minorHAnsi" w:hAnsiTheme="minorHAnsi"/>
                <w:color w:val="515151" w:themeColor="text1"/>
                <w:sz w:val="20"/>
                <w:szCs w:val="20"/>
              </w:rPr>
              <w:t xml:space="preserve">Drop out rate </w:t>
            </w:r>
            <m:oMath>
              <m:sSub>
                <m:sSubPr>
                  <m:ctrlPr>
                    <w:rPr>
                      <w:rFonts w:ascii="Cambria Math" w:hAnsi="Cambria Math" w:cs="Arial"/>
                      <w:i/>
                      <w:color w:val="515151" w:themeColor="text1"/>
                      <w:sz w:val="20"/>
                      <w:szCs w:val="20"/>
                    </w:rPr>
                  </m:ctrlPr>
                </m:sSubPr>
                <m:e>
                  <m:r>
                    <w:rPr>
                      <w:rFonts w:ascii="Cambria Math" w:hAnsi="Cambria Math" w:cs="Arial"/>
                      <w:color w:val="515151" w:themeColor="text1"/>
                      <w:sz w:val="20"/>
                      <w:szCs w:val="20"/>
                    </w:rPr>
                    <m:t>DO</m:t>
                  </m:r>
                </m:e>
                <m:sub>
                  <m:r>
                    <w:rPr>
                      <w:rFonts w:ascii="Cambria Math" w:hAnsi="Cambria Math" w:cs="Arial"/>
                      <w:color w:val="515151" w:themeColor="text1"/>
                      <w:sz w:val="20"/>
                      <w:szCs w:val="20"/>
                    </w:rPr>
                    <m:t>y</m:t>
                  </m:r>
                </m:sub>
              </m:sSub>
            </m:oMath>
          </w:p>
        </w:tc>
        <w:tc>
          <w:tcPr>
            <w:tcW w:w="3539" w:type="dxa"/>
          </w:tcPr>
          <w:p w14:paraId="015503E9" w14:textId="2C04E109" w:rsidR="00A64B63" w:rsidRDefault="00A64B63" w:rsidP="00A64B63">
            <w:pPr>
              <w:spacing w:line="276" w:lineRule="auto"/>
              <w:rPr>
                <w:rFonts w:asciiTheme="minorHAnsi" w:hAnsiTheme="minorHAnsi"/>
                <w:sz w:val="20"/>
              </w:rPr>
            </w:pPr>
            <w:r>
              <w:rPr>
                <w:rFonts w:asciiTheme="minorHAnsi" w:hAnsiTheme="minorHAnsi"/>
                <w:sz w:val="20"/>
              </w:rPr>
              <w:t>0%</w:t>
            </w:r>
          </w:p>
        </w:tc>
        <w:tc>
          <w:tcPr>
            <w:tcW w:w="3395" w:type="dxa"/>
          </w:tcPr>
          <w:p w14:paraId="3583BBF1" w14:textId="7E5BE0B1" w:rsidR="00A64B63" w:rsidRDefault="00A64B63" w:rsidP="00A64B63">
            <w:pPr>
              <w:spacing w:line="276" w:lineRule="auto"/>
              <w:rPr>
                <w:rFonts w:asciiTheme="minorHAnsi" w:hAnsiTheme="minorHAnsi"/>
                <w:sz w:val="20"/>
              </w:rPr>
            </w:pPr>
            <w:r>
              <w:rPr>
                <w:rFonts w:asciiTheme="minorHAnsi" w:hAnsiTheme="minorHAnsi"/>
                <w:sz w:val="20"/>
              </w:rPr>
              <w:t>0%</w:t>
            </w:r>
          </w:p>
        </w:tc>
      </w:tr>
      <w:tr w:rsidR="00A64B63" w:rsidRPr="00E51EF3" w14:paraId="72063ED5" w14:textId="77777777" w:rsidTr="00301BEC">
        <w:tc>
          <w:tcPr>
            <w:tcW w:w="2698" w:type="dxa"/>
            <w:tcBorders>
              <w:top w:val="single" w:sz="4" w:space="0" w:color="A6A6A6" w:themeColor="background1" w:themeShade="A6"/>
              <w:bottom w:val="single" w:sz="4" w:space="0" w:color="A6A6A6" w:themeColor="background1" w:themeShade="A6"/>
            </w:tcBorders>
          </w:tcPr>
          <w:p w14:paraId="1A38FB23" w14:textId="46FE1F0B" w:rsidR="00A64B63" w:rsidRPr="00DB698B" w:rsidRDefault="00401533" w:rsidP="00A64B63">
            <w:pPr>
              <w:rPr>
                <w:rFonts w:eastAsia="Verdana"/>
                <w:sz w:val="20"/>
              </w:rPr>
            </w:pPr>
            <w:r w:rsidRPr="00401533">
              <w:rPr>
                <w:rFonts w:asciiTheme="minorHAnsi" w:hAnsiTheme="minorHAnsi"/>
                <w:sz w:val="20"/>
              </w:rPr>
              <w:t>Status of respiratory problems</w:t>
            </w:r>
          </w:p>
        </w:tc>
        <w:tc>
          <w:tcPr>
            <w:tcW w:w="3539" w:type="dxa"/>
            <w:tcBorders>
              <w:top w:val="single" w:sz="4" w:space="0" w:color="A6A6A6" w:themeColor="background1" w:themeShade="A6"/>
              <w:bottom w:val="single" w:sz="4" w:space="0" w:color="A6A6A6" w:themeColor="background1" w:themeShade="A6"/>
            </w:tcBorders>
          </w:tcPr>
          <w:p w14:paraId="043928B2" w14:textId="1A318BC7" w:rsidR="00A64B63" w:rsidRDefault="00362EE5" w:rsidP="00362EE5">
            <w:pPr>
              <w:pStyle w:val="Default"/>
              <w:rPr>
                <w:rFonts w:asciiTheme="minorHAnsi" w:hAnsiTheme="minorHAnsi"/>
              </w:rPr>
            </w:pPr>
            <w:r w:rsidRPr="00362EE5">
              <w:rPr>
                <w:rFonts w:asciiTheme="minorHAnsi" w:hAnsiTheme="minorHAnsi" w:cs="Times New Roman (Body CS)"/>
                <w:color w:val="4D4D4C"/>
                <w14:cntxtAlts/>
              </w:rPr>
              <w:t>91</w:t>
            </w:r>
            <w:r>
              <w:rPr>
                <w:rFonts w:asciiTheme="minorHAnsi" w:hAnsiTheme="minorHAnsi" w:cs="Times New Roman (Body CS)"/>
                <w:color w:val="4D4D4C"/>
                <w:lang w:val="en-US"/>
                <w14:cntxtAlts/>
              </w:rPr>
              <w:t>%</w:t>
            </w:r>
            <w:r>
              <w:rPr>
                <w:rStyle w:val="FootnoteReference"/>
                <w:rFonts w:asciiTheme="minorHAnsi" w:hAnsiTheme="minorHAnsi" w:cs="Times New Roman (Body CS)"/>
                <w:color w:val="4D4D4C"/>
                <w:lang w:val="en-US"/>
                <w14:cntxtAlts/>
              </w:rPr>
              <w:footnoteReference w:id="4"/>
            </w:r>
            <w:r w:rsidR="00A64B63">
              <w:rPr>
                <w:rFonts w:asciiTheme="minorHAnsi" w:hAnsiTheme="minorHAnsi"/>
              </w:rPr>
              <w:t xml:space="preserve"> improvement of air quality</w:t>
            </w:r>
          </w:p>
          <w:p w14:paraId="17072C82" w14:textId="346511C8" w:rsidR="00A64B63" w:rsidRDefault="00A64B63" w:rsidP="00A64B63">
            <w:pPr>
              <w:rPr>
                <w:rFonts w:asciiTheme="minorHAnsi" w:hAnsiTheme="minorHAnsi"/>
                <w:sz w:val="20"/>
              </w:rPr>
            </w:pPr>
            <w:r>
              <w:rPr>
                <w:rFonts w:asciiTheme="minorHAnsi" w:hAnsiTheme="minorHAnsi"/>
                <w:sz w:val="20"/>
              </w:rPr>
              <w:t>100% improvement of respiratory problems</w:t>
            </w:r>
          </w:p>
        </w:tc>
        <w:tc>
          <w:tcPr>
            <w:tcW w:w="3395" w:type="dxa"/>
            <w:tcBorders>
              <w:top w:val="single" w:sz="4" w:space="0" w:color="A6A6A6" w:themeColor="background1" w:themeShade="A6"/>
              <w:bottom w:val="single" w:sz="4" w:space="0" w:color="A6A6A6" w:themeColor="background1" w:themeShade="A6"/>
            </w:tcBorders>
          </w:tcPr>
          <w:p w14:paraId="32548D35" w14:textId="13C8D079" w:rsidR="00A64B63" w:rsidRPr="009F5A18" w:rsidRDefault="00A64B63" w:rsidP="00A64B63">
            <w:pPr>
              <w:rPr>
                <w:rFonts w:asciiTheme="minorHAnsi" w:hAnsiTheme="minorHAnsi"/>
                <w:sz w:val="20"/>
              </w:rPr>
            </w:pPr>
            <w:r w:rsidRPr="001230E1">
              <w:rPr>
                <w:rFonts w:asciiTheme="minorHAnsi" w:hAnsiTheme="minorHAnsi"/>
                <w:sz w:val="20"/>
              </w:rPr>
              <w:t>96%</w:t>
            </w:r>
            <w:r w:rsidR="00362EE5">
              <w:rPr>
                <w:rFonts w:asciiTheme="minorHAnsi" w:hAnsiTheme="minorHAnsi"/>
                <w:sz w:val="20"/>
              </w:rPr>
              <w:t xml:space="preserve"> </w:t>
            </w:r>
            <w:r w:rsidRPr="009F5A18">
              <w:rPr>
                <w:rFonts w:asciiTheme="minorHAnsi" w:hAnsiTheme="minorHAnsi"/>
                <w:sz w:val="20"/>
              </w:rPr>
              <w:t>improvement of air quality</w:t>
            </w:r>
          </w:p>
          <w:p w14:paraId="094332F3" w14:textId="228565AC" w:rsidR="00A64B63" w:rsidRDefault="00A64B63" w:rsidP="00A64B63">
            <w:pPr>
              <w:rPr>
                <w:rFonts w:asciiTheme="minorHAnsi" w:hAnsiTheme="minorHAnsi"/>
                <w:sz w:val="20"/>
              </w:rPr>
            </w:pPr>
            <w:r>
              <w:rPr>
                <w:rFonts w:asciiTheme="minorHAnsi" w:hAnsiTheme="minorHAnsi"/>
                <w:sz w:val="20"/>
              </w:rPr>
              <w:t>13</w:t>
            </w:r>
            <w:r w:rsidRPr="009F5A18">
              <w:rPr>
                <w:rFonts w:asciiTheme="minorHAnsi" w:hAnsiTheme="minorHAnsi"/>
                <w:sz w:val="20"/>
              </w:rPr>
              <w:t>% improvement of respiratory problems</w:t>
            </w:r>
          </w:p>
        </w:tc>
      </w:tr>
      <w:tr w:rsidR="00A64B63" w:rsidRPr="00E51EF3" w14:paraId="3320F6E4" w14:textId="77777777" w:rsidTr="00301BEC">
        <w:tc>
          <w:tcPr>
            <w:tcW w:w="2698" w:type="dxa"/>
            <w:tcBorders>
              <w:top w:val="single" w:sz="4" w:space="0" w:color="A6A6A6" w:themeColor="background1" w:themeShade="A6"/>
              <w:bottom w:val="single" w:sz="4" w:space="0" w:color="A6A6A6" w:themeColor="background1" w:themeShade="A6"/>
            </w:tcBorders>
          </w:tcPr>
          <w:p w14:paraId="2E68A1E6" w14:textId="638511EA" w:rsidR="00A64B63" w:rsidRPr="00E51EF3" w:rsidRDefault="00A64B63" w:rsidP="00A64B63">
            <w:pPr>
              <w:rPr>
                <w:rFonts w:asciiTheme="minorHAnsi" w:hAnsiTheme="minorHAnsi"/>
                <w:sz w:val="20"/>
              </w:rPr>
            </w:pPr>
            <w:r w:rsidRPr="00F563EA">
              <w:rPr>
                <w:rFonts w:asciiTheme="minorHAnsi" w:hAnsiTheme="minorHAnsi"/>
                <w:sz w:val="20"/>
              </w:rPr>
              <w:lastRenderedPageBreak/>
              <w:t>Total Thermal Capacity</w:t>
            </w:r>
          </w:p>
        </w:tc>
        <w:tc>
          <w:tcPr>
            <w:tcW w:w="3539" w:type="dxa"/>
            <w:tcBorders>
              <w:top w:val="single" w:sz="4" w:space="0" w:color="A6A6A6" w:themeColor="background1" w:themeShade="A6"/>
              <w:bottom w:val="single" w:sz="4" w:space="0" w:color="A6A6A6" w:themeColor="background1" w:themeShade="A6"/>
            </w:tcBorders>
          </w:tcPr>
          <w:p w14:paraId="7F17CD44" w14:textId="1EB72501" w:rsidR="00A64B63" w:rsidRPr="00E51EF3" w:rsidRDefault="00A64B63" w:rsidP="008B51A7">
            <w:pPr>
              <w:rPr>
                <w:rFonts w:asciiTheme="minorHAnsi" w:hAnsiTheme="minorHAnsi"/>
                <w:sz w:val="20"/>
              </w:rPr>
            </w:pPr>
            <w:r w:rsidRPr="00B4095E">
              <w:rPr>
                <w:rFonts w:asciiTheme="minorHAnsi" w:hAnsiTheme="minorHAnsi"/>
                <w:sz w:val="20"/>
              </w:rPr>
              <w:t>2.64</w:t>
            </w:r>
            <w:r w:rsidR="008B51A7">
              <w:rPr>
                <w:rFonts w:asciiTheme="minorHAnsi" w:hAnsiTheme="minorHAnsi"/>
                <w:sz w:val="20"/>
              </w:rPr>
              <w:t xml:space="preserve">1 </w:t>
            </w:r>
            <w:r w:rsidRPr="00B4095E">
              <w:rPr>
                <w:rFonts w:asciiTheme="minorHAnsi" w:hAnsiTheme="minorHAnsi"/>
                <w:sz w:val="20"/>
              </w:rPr>
              <w:t>MW</w:t>
            </w:r>
          </w:p>
        </w:tc>
        <w:tc>
          <w:tcPr>
            <w:tcW w:w="3395" w:type="dxa"/>
            <w:tcBorders>
              <w:top w:val="single" w:sz="4" w:space="0" w:color="A6A6A6" w:themeColor="background1" w:themeShade="A6"/>
              <w:bottom w:val="single" w:sz="4" w:space="0" w:color="A6A6A6" w:themeColor="background1" w:themeShade="A6"/>
            </w:tcBorders>
          </w:tcPr>
          <w:p w14:paraId="4F2AAC4D" w14:textId="3902AD70" w:rsidR="00A64B63" w:rsidRPr="00E51EF3" w:rsidRDefault="00A64B63" w:rsidP="00A64B63">
            <w:pPr>
              <w:rPr>
                <w:rFonts w:asciiTheme="minorHAnsi" w:hAnsiTheme="minorHAnsi"/>
                <w:sz w:val="20"/>
              </w:rPr>
            </w:pPr>
            <w:r>
              <w:rPr>
                <w:rFonts w:asciiTheme="minorHAnsi" w:hAnsiTheme="minorHAnsi"/>
                <w:sz w:val="20"/>
              </w:rPr>
              <w:t>2.336 MW</w:t>
            </w:r>
          </w:p>
        </w:tc>
      </w:tr>
      <w:tr w:rsidR="00A64B63" w:rsidRPr="004B4E41" w14:paraId="73BAD528" w14:textId="77777777" w:rsidTr="00301BEC">
        <w:tc>
          <w:tcPr>
            <w:tcW w:w="2698" w:type="dxa"/>
            <w:tcBorders>
              <w:top w:val="single" w:sz="4" w:space="0" w:color="A6A6A6" w:themeColor="background1" w:themeShade="A6"/>
              <w:bottom w:val="single" w:sz="4" w:space="0" w:color="A6A6A6" w:themeColor="background1" w:themeShade="A6"/>
            </w:tcBorders>
          </w:tcPr>
          <w:p w14:paraId="12AC5868" w14:textId="3001D5F8" w:rsidR="00A64B63" w:rsidRPr="00E51EF3" w:rsidRDefault="00A64B63" w:rsidP="00A64B63">
            <w:pPr>
              <w:rPr>
                <w:rFonts w:asciiTheme="minorHAnsi" w:hAnsiTheme="minorHAnsi"/>
                <w:sz w:val="20"/>
              </w:rPr>
            </w:pPr>
            <w:r>
              <w:rPr>
                <w:rFonts w:asciiTheme="minorHAnsi" w:hAnsiTheme="minorHAnsi"/>
                <w:sz w:val="20"/>
              </w:rPr>
              <w:t>Employment</w:t>
            </w:r>
          </w:p>
        </w:tc>
        <w:tc>
          <w:tcPr>
            <w:tcW w:w="3539" w:type="dxa"/>
            <w:tcBorders>
              <w:top w:val="single" w:sz="4" w:space="0" w:color="A6A6A6" w:themeColor="background1" w:themeShade="A6"/>
              <w:bottom w:val="single" w:sz="4" w:space="0" w:color="A6A6A6" w:themeColor="background1" w:themeShade="A6"/>
            </w:tcBorders>
          </w:tcPr>
          <w:p w14:paraId="78C83D82" w14:textId="4864F682" w:rsidR="00A64B63" w:rsidRPr="00301BEC" w:rsidRDefault="00A64B63">
            <w:pPr>
              <w:rPr>
                <w:rFonts w:asciiTheme="minorHAnsi" w:hAnsiTheme="minorHAnsi"/>
                <w:sz w:val="20"/>
              </w:rPr>
            </w:pPr>
            <w:r w:rsidRPr="00301BEC">
              <w:rPr>
                <w:rFonts w:asciiTheme="minorHAnsi" w:hAnsiTheme="minorHAnsi"/>
                <w:sz w:val="20"/>
              </w:rPr>
              <w:t>40 people working for SES during MP</w:t>
            </w:r>
          </w:p>
        </w:tc>
        <w:tc>
          <w:tcPr>
            <w:tcW w:w="3395" w:type="dxa"/>
            <w:tcBorders>
              <w:top w:val="single" w:sz="4" w:space="0" w:color="A6A6A6" w:themeColor="background1" w:themeShade="A6"/>
              <w:bottom w:val="single" w:sz="4" w:space="0" w:color="A6A6A6" w:themeColor="background1" w:themeShade="A6"/>
            </w:tcBorders>
          </w:tcPr>
          <w:p w14:paraId="34EC991E" w14:textId="4E6EAEE1" w:rsidR="00A64B63" w:rsidRPr="00301BEC" w:rsidRDefault="00A64B63" w:rsidP="00A64B63">
            <w:pPr>
              <w:rPr>
                <w:rFonts w:asciiTheme="minorHAnsi" w:hAnsiTheme="minorHAnsi"/>
                <w:sz w:val="20"/>
              </w:rPr>
            </w:pPr>
            <w:r w:rsidRPr="00301BEC">
              <w:rPr>
                <w:rFonts w:asciiTheme="minorHAnsi" w:hAnsiTheme="minorHAnsi"/>
                <w:sz w:val="20"/>
              </w:rPr>
              <w:t>54 People working for SES</w:t>
            </w:r>
          </w:p>
        </w:tc>
      </w:tr>
      <w:tr w:rsidR="00A64B63" w:rsidRPr="00E51EF3" w14:paraId="44048218" w14:textId="77777777" w:rsidTr="00301BEC">
        <w:tc>
          <w:tcPr>
            <w:tcW w:w="2698" w:type="dxa"/>
            <w:tcBorders>
              <w:top w:val="single" w:sz="4" w:space="0" w:color="A6A6A6" w:themeColor="background1" w:themeShade="A6"/>
              <w:bottom w:val="single" w:sz="4" w:space="0" w:color="A6A6A6" w:themeColor="background1" w:themeShade="A6"/>
            </w:tcBorders>
          </w:tcPr>
          <w:p w14:paraId="2192F2C5" w14:textId="618C3240" w:rsidR="00A64B63" w:rsidRPr="00F563EA" w:rsidRDefault="00A64B63" w:rsidP="00A64B63">
            <w:pPr>
              <w:rPr>
                <w:rFonts w:asciiTheme="minorHAnsi" w:hAnsiTheme="minorHAnsi"/>
                <w:sz w:val="20"/>
              </w:rPr>
            </w:pPr>
            <w:r>
              <w:rPr>
                <w:rFonts w:asciiTheme="minorHAnsi" w:hAnsiTheme="minorHAnsi"/>
                <w:sz w:val="20"/>
              </w:rPr>
              <w:t>E</w:t>
            </w:r>
            <w:r w:rsidRPr="001C6D0E">
              <w:rPr>
                <w:rFonts w:asciiTheme="minorHAnsi" w:hAnsiTheme="minorHAnsi"/>
                <w:sz w:val="20"/>
              </w:rPr>
              <w:t>mission reductions</w:t>
            </w:r>
          </w:p>
        </w:tc>
        <w:tc>
          <w:tcPr>
            <w:tcW w:w="3539" w:type="dxa"/>
            <w:tcBorders>
              <w:top w:val="single" w:sz="4" w:space="0" w:color="A6A6A6" w:themeColor="background1" w:themeShade="A6"/>
              <w:bottom w:val="single" w:sz="4" w:space="0" w:color="A6A6A6" w:themeColor="background1" w:themeShade="A6"/>
            </w:tcBorders>
          </w:tcPr>
          <w:p w14:paraId="1D782D9C" w14:textId="7E4977DD" w:rsidR="00A64B63" w:rsidRPr="00B4095E" w:rsidRDefault="00A64B63" w:rsidP="00A64B63">
            <w:pPr>
              <w:rPr>
                <w:rFonts w:asciiTheme="minorHAnsi" w:hAnsiTheme="minorHAnsi"/>
                <w:sz w:val="20"/>
              </w:rPr>
            </w:pPr>
            <w:r w:rsidRPr="001C6D0E">
              <w:rPr>
                <w:rFonts w:asciiTheme="minorHAnsi" w:hAnsiTheme="minorHAnsi"/>
                <w:sz w:val="20"/>
              </w:rPr>
              <w:t>7</w:t>
            </w:r>
            <w:r w:rsidR="00AE680F">
              <w:rPr>
                <w:rFonts w:asciiTheme="minorHAnsi" w:hAnsiTheme="minorHAnsi"/>
                <w:sz w:val="20"/>
              </w:rPr>
              <w:t>,419</w:t>
            </w:r>
            <w:r w:rsidRPr="001C6D0E">
              <w:rPr>
                <w:rFonts w:asciiTheme="minorHAnsi" w:hAnsiTheme="minorHAnsi"/>
                <w:sz w:val="20"/>
              </w:rPr>
              <w:t xml:space="preserve"> tCO2e</w:t>
            </w:r>
          </w:p>
        </w:tc>
        <w:tc>
          <w:tcPr>
            <w:tcW w:w="3395" w:type="dxa"/>
            <w:tcBorders>
              <w:top w:val="single" w:sz="4" w:space="0" w:color="A6A6A6" w:themeColor="background1" w:themeShade="A6"/>
              <w:bottom w:val="single" w:sz="4" w:space="0" w:color="A6A6A6" w:themeColor="background1" w:themeShade="A6"/>
            </w:tcBorders>
          </w:tcPr>
          <w:p w14:paraId="267A7C6F" w14:textId="76C28C89" w:rsidR="00A64B63" w:rsidRDefault="00A64B63" w:rsidP="00A64B63">
            <w:pPr>
              <w:rPr>
                <w:rFonts w:asciiTheme="minorHAnsi" w:hAnsiTheme="minorHAnsi"/>
                <w:sz w:val="20"/>
              </w:rPr>
            </w:pPr>
            <w:r w:rsidRPr="001C6D0E">
              <w:rPr>
                <w:rFonts w:asciiTheme="minorHAnsi" w:hAnsiTheme="minorHAnsi"/>
                <w:sz w:val="20"/>
              </w:rPr>
              <w:t>6,746 tCO2e</w:t>
            </w:r>
          </w:p>
        </w:tc>
      </w:tr>
    </w:tbl>
    <w:p w14:paraId="619067C0" w14:textId="305AAB9D" w:rsidR="00816579" w:rsidRDefault="00816579" w:rsidP="00816579">
      <w:pPr>
        <w:rPr>
          <w:rFonts w:ascii="Avenir Book" w:hAnsi="Avenir Book"/>
        </w:rPr>
      </w:pPr>
    </w:p>
    <w:p w14:paraId="21766F18" w14:textId="77777777" w:rsidR="008B51A7" w:rsidRDefault="008B51A7" w:rsidP="00816579">
      <w:pPr>
        <w:rPr>
          <w:rFonts w:ascii="Avenir Book" w:hAnsi="Avenir Book"/>
        </w:rPr>
      </w:pPr>
    </w:p>
    <w:p w14:paraId="0F0A5F9D" w14:textId="119C7B88" w:rsidR="007336DA" w:rsidRPr="00A55140" w:rsidRDefault="007336DA" w:rsidP="00816579">
      <w:pPr>
        <w:rPr>
          <w:u w:val="single"/>
          <w:lang w:val="en-GB"/>
        </w:rPr>
      </w:pPr>
      <w:r w:rsidRPr="00A55140">
        <w:rPr>
          <w:u w:val="single"/>
          <w:lang w:val="en-GB"/>
        </w:rPr>
        <w:t>Status of respiratory problems</w:t>
      </w:r>
    </w:p>
    <w:p w14:paraId="12B3C9ED" w14:textId="6451BFF4" w:rsidR="005346D7" w:rsidRDefault="005346D7" w:rsidP="00816579">
      <w:pPr>
        <w:rPr>
          <w:lang w:val="en-GB"/>
        </w:rPr>
      </w:pPr>
      <w:r w:rsidRPr="00A55140">
        <w:rPr>
          <w:lang w:val="en-GB"/>
        </w:rPr>
        <w:t xml:space="preserve">The high increase in the percentage of people who report improvement of respiratory problems is to be affiliated to a change of the perception of the assessment question: </w:t>
      </w:r>
      <w:r w:rsidRPr="00A55140">
        <w:rPr>
          <w:rFonts w:hint="eastAsia"/>
          <w:lang w:val="en-GB"/>
        </w:rPr>
        <w:t>“</w:t>
      </w:r>
      <w:r w:rsidRPr="00A55140">
        <w:rPr>
          <w:lang w:val="en-GB"/>
        </w:rPr>
        <w:t>Do you remember having respiratory problems (e.g. coughing, shortness of breath) when cooking with your old cook stove?</w:t>
      </w:r>
      <w:r w:rsidRPr="00A55140">
        <w:rPr>
          <w:rFonts w:hint="eastAsia"/>
          <w:lang w:val="en-GB"/>
        </w:rPr>
        <w:t>”</w:t>
      </w:r>
      <w:r w:rsidRPr="00A55140">
        <w:rPr>
          <w:lang w:val="en-GB"/>
        </w:rPr>
        <w:t>. In the past people would mostly think of respiratory problems as equivalent with suffering a pneumonia what only very few had diagnosed. With the years passing by</w:t>
      </w:r>
      <w:r w:rsidR="00EC240E">
        <w:rPr>
          <w:lang w:val="en-GB"/>
        </w:rPr>
        <w:t xml:space="preserve"> and the ongoing improvement of</w:t>
      </w:r>
      <w:r w:rsidR="00EC240E" w:rsidRPr="00EC240E">
        <w:rPr>
          <w:lang w:val="en-GB"/>
        </w:rPr>
        <w:t xml:space="preserve"> </w:t>
      </w:r>
      <w:r w:rsidR="00EC240E">
        <w:rPr>
          <w:lang w:val="en-GB"/>
        </w:rPr>
        <w:t xml:space="preserve">their </w:t>
      </w:r>
      <w:r w:rsidR="00EC240E" w:rsidRPr="00EC240E">
        <w:rPr>
          <w:lang w:val="en-GB"/>
        </w:rPr>
        <w:t>respiratory conditions</w:t>
      </w:r>
      <w:r w:rsidRPr="00A55140">
        <w:rPr>
          <w:lang w:val="en-GB"/>
        </w:rPr>
        <w:t xml:space="preserve"> they can see more clearly that before using biogas they</w:t>
      </w:r>
      <w:r w:rsidR="00EC240E">
        <w:rPr>
          <w:lang w:val="en-GB"/>
        </w:rPr>
        <w:t xml:space="preserve"> really</w:t>
      </w:r>
      <w:r w:rsidRPr="00A55140">
        <w:rPr>
          <w:lang w:val="en-GB"/>
        </w:rPr>
        <w:t xml:space="preserve"> had respiratory problems. For most of them it becomes most evident if they observe their neighbo</w:t>
      </w:r>
      <w:r w:rsidR="007F2D8D">
        <w:rPr>
          <w:lang w:val="en-GB"/>
        </w:rPr>
        <w:t>u</w:t>
      </w:r>
      <w:r w:rsidRPr="00A55140">
        <w:rPr>
          <w:lang w:val="en-GB"/>
        </w:rPr>
        <w:t xml:space="preserve">rs who are still cooking on 3-stones-fires and having respiratory problems. Earlier those where thought to be </w:t>
      </w:r>
      <w:r w:rsidRPr="00A55140">
        <w:rPr>
          <w:rFonts w:hint="eastAsia"/>
          <w:lang w:val="en-GB"/>
        </w:rPr>
        <w:t>“</w:t>
      </w:r>
      <w:r w:rsidRPr="00A55140">
        <w:rPr>
          <w:lang w:val="en-GB"/>
        </w:rPr>
        <w:t>normal</w:t>
      </w:r>
      <w:r w:rsidRPr="00A55140">
        <w:rPr>
          <w:rFonts w:hint="eastAsia"/>
          <w:lang w:val="en-GB"/>
        </w:rPr>
        <w:t>”</w:t>
      </w:r>
      <w:r w:rsidRPr="00A55140">
        <w:rPr>
          <w:lang w:val="en-GB"/>
        </w:rPr>
        <w:t xml:space="preserve"> but from the comparison with the own situation it becomes clear that those are noteworthy problems they experienced as well before switching to biogas. Thus the increase is caused by a higher awareness for the issue.</w:t>
      </w:r>
    </w:p>
    <w:p w14:paraId="2EDB7C39" w14:textId="2C5F13DE" w:rsidR="007336DA" w:rsidRPr="00A55140" w:rsidRDefault="007336DA" w:rsidP="00816579">
      <w:pPr>
        <w:rPr>
          <w:u w:val="single"/>
          <w:lang w:val="en-GB"/>
        </w:rPr>
      </w:pPr>
      <w:r w:rsidRPr="00A55140">
        <w:rPr>
          <w:u w:val="single"/>
          <w:lang w:val="en-GB"/>
        </w:rPr>
        <w:t>Employment</w:t>
      </w:r>
    </w:p>
    <w:p w14:paraId="3F9CD71D" w14:textId="381BC851" w:rsidR="007336DA" w:rsidRDefault="00911873" w:rsidP="00816579">
      <w:r w:rsidRPr="00911873">
        <w:t>I</w:t>
      </w:r>
      <w:r w:rsidR="007336DA" w:rsidRPr="00911873">
        <w:t>n the current fourth Monitoring Period</w:t>
      </w:r>
      <w:r w:rsidR="00EE386E" w:rsidRPr="00911873">
        <w:t xml:space="preserve"> 15</w:t>
      </w:r>
      <w:r w:rsidR="007336DA" w:rsidRPr="00911873">
        <w:t xml:space="preserve"> handyman were under training of which 7 became masons and 1 became plumber during the MP. 40 people were regularly working for SES during the Monitoring Period. Masons and handymen already trained up until MP 4 are still available for the construction of biogas units in peak phases.</w:t>
      </w:r>
    </w:p>
    <w:p w14:paraId="7BE91347" w14:textId="437DEAA8" w:rsidR="00816579" w:rsidRDefault="00465B23" w:rsidP="00465B23">
      <w:pPr>
        <w:pStyle w:val="Heading5"/>
      </w:pPr>
      <w:r>
        <w:t xml:space="preserve">D.4. </w:t>
      </w:r>
      <w:r w:rsidR="00816579" w:rsidRPr="00241108">
        <w:t>Implementation of sampling plan</w:t>
      </w:r>
      <w:bookmarkEnd w:id="31"/>
      <w:bookmarkEnd w:id="32"/>
    </w:p>
    <w:p w14:paraId="50A01755" w14:textId="77777777" w:rsidR="000A1813" w:rsidRPr="000A1813" w:rsidRDefault="000A1813" w:rsidP="000A1813"/>
    <w:p w14:paraId="1B9CC7EF" w14:textId="487D891F" w:rsidR="000A1813" w:rsidRPr="003F5472" w:rsidRDefault="000A1813" w:rsidP="00326F42">
      <w:pPr>
        <w:numPr>
          <w:ilvl w:val="0"/>
          <w:numId w:val="32"/>
        </w:numPr>
        <w:spacing w:after="0" w:line="240" w:lineRule="auto"/>
        <w:jc w:val="both"/>
        <w:rPr>
          <w:rFonts w:cs="Arial"/>
          <w:szCs w:val="22"/>
          <w:u w:val="single"/>
        </w:rPr>
      </w:pPr>
      <w:r w:rsidRPr="003F5472">
        <w:rPr>
          <w:rFonts w:cs="Arial"/>
          <w:szCs w:val="22"/>
          <w:u w:val="single"/>
        </w:rPr>
        <w:t>Description of implemented sampling design</w:t>
      </w:r>
    </w:p>
    <w:p w14:paraId="68AED584" w14:textId="77777777" w:rsidR="000A1813" w:rsidRPr="00AF07B7" w:rsidRDefault="000A1813" w:rsidP="000A1813">
      <w:pPr>
        <w:rPr>
          <w:rFonts w:cs="Arial"/>
          <w:szCs w:val="22"/>
        </w:rPr>
      </w:pPr>
    </w:p>
    <w:p w14:paraId="164223EA" w14:textId="77777777" w:rsidR="000A1813" w:rsidRPr="003F5472" w:rsidRDefault="000A1813" w:rsidP="000A1813">
      <w:pPr>
        <w:rPr>
          <w:rFonts w:cs="Arial"/>
          <w:i/>
          <w:szCs w:val="22"/>
        </w:rPr>
      </w:pPr>
      <w:r w:rsidRPr="003F5472">
        <w:rPr>
          <w:rFonts w:cs="Arial"/>
          <w:szCs w:val="22"/>
        </w:rPr>
        <w:t>According to AMS I.E. ver. 4, par. 12,</w:t>
      </w:r>
      <w:r w:rsidRPr="00AF07B7">
        <w:rPr>
          <w:rFonts w:cs="Arial"/>
          <w:szCs w:val="22"/>
        </w:rPr>
        <w:t xml:space="preserve"> ‘</w:t>
      </w:r>
      <w:r w:rsidRPr="003F5472">
        <w:rPr>
          <w:rFonts w:cs="Arial"/>
          <w:i/>
          <w:szCs w:val="22"/>
        </w:rPr>
        <w:t>Monitoring shall consist of checking of all appliances or a representative sample thereof, at least once every two years (biennial) to ensure that they are still operating or are replaced by an eq</w:t>
      </w:r>
      <w:r>
        <w:rPr>
          <w:rFonts w:cs="Arial"/>
          <w:i/>
          <w:szCs w:val="22"/>
        </w:rPr>
        <w:t>uivalent in service appliance.’</w:t>
      </w:r>
    </w:p>
    <w:p w14:paraId="02687E43" w14:textId="77777777" w:rsidR="000A1813" w:rsidRPr="003F5472" w:rsidRDefault="000A1813" w:rsidP="000A1813">
      <w:pPr>
        <w:rPr>
          <w:rFonts w:cs="Arial"/>
          <w:i/>
          <w:szCs w:val="22"/>
        </w:rPr>
      </w:pPr>
    </w:p>
    <w:p w14:paraId="7DC070EE" w14:textId="77777777" w:rsidR="000A1813" w:rsidRPr="003F5472" w:rsidRDefault="000A1813" w:rsidP="000A1813">
      <w:pPr>
        <w:rPr>
          <w:rFonts w:cs="Arial"/>
          <w:szCs w:val="22"/>
        </w:rPr>
      </w:pPr>
      <w:r w:rsidRPr="003F5472">
        <w:rPr>
          <w:rFonts w:cs="Arial"/>
          <w:szCs w:val="22"/>
        </w:rPr>
        <w:lastRenderedPageBreak/>
        <w:t>Furthermore, according to par. 14</w:t>
      </w:r>
      <w:r>
        <w:rPr>
          <w:rFonts w:cs="Arial"/>
          <w:szCs w:val="22"/>
        </w:rPr>
        <w:t xml:space="preserve"> of the same methodology</w:t>
      </w:r>
      <w:r w:rsidRPr="003F5472">
        <w:rPr>
          <w:rFonts w:cs="Arial"/>
          <w:szCs w:val="22"/>
        </w:rPr>
        <w:t xml:space="preserve">, monitoring shall ensure that: </w:t>
      </w:r>
    </w:p>
    <w:p w14:paraId="5AB95B30" w14:textId="77777777" w:rsidR="000A1813" w:rsidRPr="003F5472" w:rsidRDefault="000A1813" w:rsidP="000A1813">
      <w:pPr>
        <w:rPr>
          <w:rFonts w:cs="Arial"/>
          <w:i/>
          <w:szCs w:val="22"/>
        </w:rPr>
      </w:pPr>
      <w:r>
        <w:rPr>
          <w:rFonts w:cs="Arial"/>
          <w:i/>
          <w:szCs w:val="22"/>
        </w:rPr>
        <w:t>‘</w:t>
      </w:r>
      <w:r w:rsidRPr="003F5472">
        <w:rPr>
          <w:rFonts w:cs="Arial"/>
          <w:i/>
          <w:szCs w:val="22"/>
        </w:rPr>
        <w:t xml:space="preserve">Monitoring should confirm the displacement or substitution of the non-renewable woody biomass at each location. In the case of </w:t>
      </w:r>
      <w:r>
        <w:rPr>
          <w:rFonts w:cs="Arial"/>
          <w:i/>
          <w:szCs w:val="22"/>
        </w:rPr>
        <w:t>appliances</w:t>
      </w:r>
      <w:r w:rsidRPr="003F5472">
        <w:rPr>
          <w:rFonts w:cs="Arial"/>
          <w:i/>
          <w:szCs w:val="22"/>
        </w:rPr>
        <w:t xml:space="preserve"> switching to renewable biomass</w:t>
      </w:r>
      <w:r>
        <w:rPr>
          <w:rFonts w:cs="Arial"/>
          <w:i/>
          <w:szCs w:val="22"/>
        </w:rPr>
        <w:t>,</w:t>
      </w:r>
      <w:r w:rsidRPr="003F5472">
        <w:rPr>
          <w:rFonts w:cs="Arial"/>
          <w:i/>
          <w:szCs w:val="22"/>
        </w:rPr>
        <w:t xml:space="preserve"> the quantity of renewable b</w:t>
      </w:r>
      <w:r>
        <w:rPr>
          <w:rFonts w:cs="Arial"/>
          <w:i/>
          <w:szCs w:val="22"/>
        </w:rPr>
        <w:t>iomass used shall be monitored.’</w:t>
      </w:r>
    </w:p>
    <w:p w14:paraId="13EC339B" w14:textId="77777777" w:rsidR="000A1813" w:rsidRPr="00830281" w:rsidRDefault="000A1813" w:rsidP="000A1813">
      <w:pPr>
        <w:autoSpaceDE w:val="0"/>
        <w:autoSpaceDN w:val="0"/>
        <w:adjustRightInd w:val="0"/>
        <w:rPr>
          <w:rFonts w:cs="Arial"/>
          <w:szCs w:val="22"/>
        </w:rPr>
      </w:pPr>
    </w:p>
    <w:p w14:paraId="0CDD647B" w14:textId="77777777" w:rsidR="007543E4" w:rsidRPr="003F5472" w:rsidRDefault="007543E4" w:rsidP="007543E4">
      <w:pPr>
        <w:autoSpaceDE w:val="0"/>
        <w:autoSpaceDN w:val="0"/>
        <w:adjustRightInd w:val="0"/>
        <w:rPr>
          <w:rFonts w:cs="Arial"/>
          <w:szCs w:val="22"/>
        </w:rPr>
      </w:pPr>
      <w:r w:rsidRPr="003F5472">
        <w:rPr>
          <w:rFonts w:cs="Arial"/>
          <w:szCs w:val="22"/>
        </w:rPr>
        <w:t xml:space="preserve">For this reason, parameters as stated in Section D.2. of this Monitoring Report are monitored. Due to the high number of units to be deployed an annual check of all units </w:t>
      </w:r>
      <w:r>
        <w:rPr>
          <w:rFonts w:cs="Arial"/>
          <w:szCs w:val="22"/>
        </w:rPr>
        <w:t xml:space="preserve">is </w:t>
      </w:r>
      <w:r w:rsidRPr="003F5472">
        <w:rPr>
          <w:rFonts w:cs="Arial"/>
          <w:szCs w:val="22"/>
        </w:rPr>
        <w:t xml:space="preserve">not economically feasible and therefore a sample </w:t>
      </w:r>
      <w:r>
        <w:rPr>
          <w:rFonts w:cs="Arial"/>
          <w:szCs w:val="22"/>
        </w:rPr>
        <w:t xml:space="preserve">is </w:t>
      </w:r>
      <w:r w:rsidRPr="003F5472">
        <w:rPr>
          <w:rFonts w:cs="Arial"/>
          <w:szCs w:val="22"/>
        </w:rPr>
        <w:t>monitored to ensure that all the units deployed are still operating or to record end of operation and/or replacement of the units in order to determine the statistically adjusted annual or bi</w:t>
      </w:r>
      <w:r>
        <w:rPr>
          <w:rFonts w:cs="Arial"/>
          <w:szCs w:val="22"/>
        </w:rPr>
        <w:t>ennial value for drop</w:t>
      </w:r>
      <w:r w:rsidRPr="003F5472">
        <w:rPr>
          <w:rFonts w:cs="Arial"/>
          <w:szCs w:val="22"/>
        </w:rPr>
        <w:t xml:space="preserve">out </w:t>
      </w:r>
      <w:r w:rsidRPr="00EA4900">
        <w:rPr>
          <w:rFonts w:cs="Arial"/>
          <w:szCs w:val="22"/>
        </w:rPr>
        <w:t>(</w:t>
      </w:r>
      <w:r w:rsidRPr="00EA4900">
        <w:rPr>
          <w:rFonts w:cs="Arial"/>
          <w:bCs/>
          <w:i/>
          <w:iCs/>
          <w:szCs w:val="22"/>
        </w:rPr>
        <w:t>DO</w:t>
      </w:r>
      <w:r w:rsidRPr="00EA4900">
        <w:rPr>
          <w:rFonts w:cs="Arial"/>
          <w:bCs/>
          <w:i/>
          <w:iCs/>
          <w:szCs w:val="22"/>
          <w:vertAlign w:val="subscript"/>
        </w:rPr>
        <w:t>y</w:t>
      </w:r>
      <w:r w:rsidRPr="00EA4900">
        <w:rPr>
          <w:rFonts w:cs="Arial"/>
          <w:bCs/>
          <w:szCs w:val="22"/>
        </w:rPr>
        <w:t>)</w:t>
      </w:r>
      <w:r w:rsidRPr="003F5472">
        <w:rPr>
          <w:rFonts w:cs="Arial"/>
          <w:szCs w:val="22"/>
        </w:rPr>
        <w:t>. Where replacements are made, monitoring shall also ensure that they are replaced by an equivalent in service appliance.</w:t>
      </w:r>
    </w:p>
    <w:p w14:paraId="2464738A" w14:textId="77777777" w:rsidR="007543E4" w:rsidRPr="003F5472" w:rsidRDefault="007543E4" w:rsidP="007543E4">
      <w:pPr>
        <w:autoSpaceDE w:val="0"/>
        <w:autoSpaceDN w:val="0"/>
        <w:adjustRightInd w:val="0"/>
        <w:rPr>
          <w:rFonts w:cs="Arial"/>
          <w:szCs w:val="22"/>
        </w:rPr>
      </w:pPr>
    </w:p>
    <w:p w14:paraId="3CB13918" w14:textId="77777777" w:rsidR="007543E4" w:rsidRPr="00EC240E" w:rsidRDefault="007543E4" w:rsidP="00A55140">
      <w:pPr>
        <w:rPr>
          <w:rFonts w:cs="Arial"/>
          <w:szCs w:val="22"/>
        </w:rPr>
      </w:pPr>
      <w:r w:rsidRPr="007F2D8D">
        <w:rPr>
          <w:rFonts w:cs="Arial"/>
          <w:szCs w:val="22"/>
        </w:rPr>
        <w:t xml:space="preserve">The monitoring team conducted the user interviews between 08/04/2021 and 30/05/2021. This monitoring period all biogas units commissioned until 30/12/2020 are considered. </w:t>
      </w:r>
      <w:r w:rsidRPr="00EC240E">
        <w:rPr>
          <w:rFonts w:cs="Arial"/>
          <w:szCs w:val="22"/>
        </w:rPr>
        <w:t>Samples were drawn from the project’s database of atmosfair via a computerized random sample. The random sample was drawn on 09/02/2021.</w:t>
      </w:r>
    </w:p>
    <w:p w14:paraId="75E81DE4" w14:textId="77777777" w:rsidR="007543E4" w:rsidRPr="00EC240E" w:rsidRDefault="007543E4" w:rsidP="00A55140">
      <w:pPr>
        <w:rPr>
          <w:rFonts w:cs="Arial"/>
          <w:szCs w:val="22"/>
        </w:rPr>
      </w:pPr>
    </w:p>
    <w:p w14:paraId="64CF9B4D" w14:textId="08235A0D" w:rsidR="007543E4" w:rsidRPr="00A55140" w:rsidRDefault="007543E4" w:rsidP="00A55140">
      <w:pPr>
        <w:rPr>
          <w:rFonts w:cs="Arial"/>
          <w:szCs w:val="22"/>
        </w:rPr>
      </w:pPr>
      <w:r w:rsidRPr="00A55140">
        <w:rPr>
          <w:rFonts w:cs="Arial"/>
          <w:szCs w:val="22"/>
        </w:rPr>
        <w:t>Th</w:t>
      </w:r>
      <w:r w:rsidR="00EE78C6" w:rsidRPr="00A55140">
        <w:rPr>
          <w:rFonts w:cs="Arial"/>
          <w:szCs w:val="22"/>
        </w:rPr>
        <w:t xml:space="preserve">e required sample size for DOy </w:t>
      </w:r>
      <w:r w:rsidRPr="00A55140">
        <w:rPr>
          <w:rFonts w:cs="Arial"/>
          <w:szCs w:val="22"/>
        </w:rPr>
        <w:t>was calculated prior to conducting the sample surveys using the equations for simple random sampling as per EB 67 Annex 6, para 16 to 26. A sample size of 50 users was calculated for DOy. Considering an 90% response, the computerized randomizer produced an unsorted sample list of 56 biogas users.</w:t>
      </w:r>
    </w:p>
    <w:p w14:paraId="6BCCF275" w14:textId="23F520D3" w:rsidR="001E7D8A" w:rsidRPr="00A55140" w:rsidRDefault="001E7D8A" w:rsidP="00A55140">
      <w:pPr>
        <w:rPr>
          <w:rFonts w:cs="Arial"/>
          <w:szCs w:val="22"/>
        </w:rPr>
      </w:pPr>
      <w:r w:rsidRPr="00A55140">
        <w:rPr>
          <w:rFonts w:cs="Arial"/>
          <w:szCs w:val="22"/>
        </w:rPr>
        <w:t>Out of the 56 sampled households, 52 users could be contacted during the measurement time defined in the PDD. From the remaining 4 cases, 3 families could not be encountered despite multiple visits. However, the house</w:t>
      </w:r>
      <w:r w:rsidR="00633811" w:rsidRPr="00A55140">
        <w:rPr>
          <w:rFonts w:cs="Arial"/>
          <w:szCs w:val="22"/>
        </w:rPr>
        <w:t>s</w:t>
      </w:r>
      <w:r w:rsidRPr="00A55140">
        <w:rPr>
          <w:rFonts w:cs="Arial"/>
          <w:szCs w:val="22"/>
        </w:rPr>
        <w:t xml:space="preserve"> and biogas plant</w:t>
      </w:r>
      <w:r w:rsidR="00633811" w:rsidRPr="00A55140">
        <w:rPr>
          <w:rFonts w:cs="Arial"/>
          <w:szCs w:val="22"/>
        </w:rPr>
        <w:t>s</w:t>
      </w:r>
      <w:r w:rsidRPr="00A55140">
        <w:rPr>
          <w:rFonts w:cs="Arial"/>
          <w:szCs w:val="22"/>
        </w:rPr>
        <w:t xml:space="preserve"> looked well-maintained and in use and there was no indication that t</w:t>
      </w:r>
      <w:r w:rsidR="00633811" w:rsidRPr="00A55140">
        <w:rPr>
          <w:rFonts w:cs="Arial"/>
          <w:szCs w:val="22"/>
        </w:rPr>
        <w:t>he families had moved. The user</w:t>
      </w:r>
      <w:r w:rsidRPr="00A55140">
        <w:rPr>
          <w:rFonts w:cs="Arial"/>
          <w:szCs w:val="22"/>
        </w:rPr>
        <w:t>s of the last remaining</w:t>
      </w:r>
      <w:r w:rsidR="00633811" w:rsidRPr="00A55140">
        <w:rPr>
          <w:rFonts w:cs="Arial"/>
          <w:szCs w:val="22"/>
        </w:rPr>
        <w:t xml:space="preserve"> plant could only be encountered after</w:t>
      </w:r>
      <w:r w:rsidRPr="00A55140">
        <w:rPr>
          <w:rFonts w:cs="Arial"/>
          <w:szCs w:val="22"/>
        </w:rPr>
        <w:t xml:space="preserve"> the time for measurement</w:t>
      </w:r>
      <w:r w:rsidR="00633811" w:rsidRPr="00A55140">
        <w:rPr>
          <w:rFonts w:cs="Arial"/>
          <w:szCs w:val="22"/>
        </w:rPr>
        <w:t xml:space="preserve"> defined in the PDD </w:t>
      </w:r>
      <w:r w:rsidRPr="00A55140">
        <w:rPr>
          <w:rFonts w:cs="Arial"/>
          <w:szCs w:val="22"/>
        </w:rPr>
        <w:t>on 04/07/2021</w:t>
      </w:r>
      <w:r w:rsidR="00633811" w:rsidRPr="00A55140">
        <w:rPr>
          <w:rFonts w:cs="Arial"/>
          <w:szCs w:val="22"/>
        </w:rPr>
        <w:t>,</w:t>
      </w:r>
      <w:r w:rsidRPr="00A55140">
        <w:rPr>
          <w:rFonts w:cs="Arial"/>
          <w:szCs w:val="22"/>
        </w:rPr>
        <w:t xml:space="preserve"> confirming that the plant was operating.</w:t>
      </w:r>
    </w:p>
    <w:p w14:paraId="307E5D34" w14:textId="77777777" w:rsidR="001E7D8A" w:rsidRPr="00A55140" w:rsidRDefault="001E7D8A" w:rsidP="00A55140">
      <w:pPr>
        <w:rPr>
          <w:rFonts w:cs="Arial"/>
          <w:szCs w:val="22"/>
        </w:rPr>
      </w:pPr>
      <w:r w:rsidRPr="00A55140">
        <w:rPr>
          <w:rFonts w:cs="Arial"/>
          <w:szCs w:val="22"/>
        </w:rPr>
        <w:t>Since there is no evidence of drop out during the monitoring period under consideration, and the statistically relevant size is nevertheless reached, these 4 households are not considered.</w:t>
      </w:r>
    </w:p>
    <w:p w14:paraId="28092F1C" w14:textId="77777777" w:rsidR="007543E4" w:rsidRPr="00A55140" w:rsidRDefault="007543E4" w:rsidP="00A55140">
      <w:pPr>
        <w:rPr>
          <w:rFonts w:cs="Arial"/>
          <w:szCs w:val="22"/>
        </w:rPr>
      </w:pPr>
    </w:p>
    <w:p w14:paraId="036106BD" w14:textId="65B2CF10" w:rsidR="007543E4" w:rsidRPr="00A55140" w:rsidRDefault="007543E4" w:rsidP="00A55140">
      <w:pPr>
        <w:rPr>
          <w:rFonts w:cs="Arial"/>
          <w:szCs w:val="22"/>
        </w:rPr>
      </w:pPr>
      <w:r w:rsidRPr="00A55140">
        <w:rPr>
          <w:rFonts w:cs="Arial"/>
          <w:szCs w:val="22"/>
        </w:rPr>
        <w:lastRenderedPageBreak/>
        <w:t xml:space="preserve">Ny </w:t>
      </w:r>
      <w:r w:rsidRPr="007F2D8D">
        <w:rPr>
          <w:rFonts w:cs="Arial"/>
          <w:szCs w:val="22"/>
        </w:rPr>
        <w:t>was monitored through sales records for all biogas units commissioned until 30/12/2020. The parameter of DO</w:t>
      </w:r>
      <w:r w:rsidRPr="00A55140">
        <w:rPr>
          <w:rFonts w:cs="Arial"/>
          <w:szCs w:val="22"/>
        </w:rPr>
        <w:t>y</w:t>
      </w:r>
      <w:r w:rsidRPr="007F2D8D">
        <w:rPr>
          <w:rFonts w:cs="Arial"/>
          <w:szCs w:val="22"/>
        </w:rPr>
        <w:t xml:space="preserve"> </w:t>
      </w:r>
      <w:r w:rsidR="00987353">
        <w:rPr>
          <w:rFonts w:cs="Arial"/>
          <w:szCs w:val="22"/>
        </w:rPr>
        <w:t xml:space="preserve">and the status of </w:t>
      </w:r>
      <w:r w:rsidR="00B81D0C">
        <w:rPr>
          <w:rFonts w:cs="Arial"/>
          <w:szCs w:val="22"/>
        </w:rPr>
        <w:t xml:space="preserve">air quality and </w:t>
      </w:r>
      <w:r w:rsidR="00987353">
        <w:rPr>
          <w:rFonts w:cs="Arial"/>
          <w:szCs w:val="22"/>
        </w:rPr>
        <w:t>respiratory problems were</w:t>
      </w:r>
      <w:r w:rsidRPr="007F2D8D">
        <w:rPr>
          <w:rFonts w:cs="Arial"/>
          <w:szCs w:val="22"/>
        </w:rPr>
        <w:t xml:space="preserve"> determined through </w:t>
      </w:r>
      <w:r w:rsidR="00987353">
        <w:rPr>
          <w:rFonts w:cs="Arial"/>
          <w:szCs w:val="22"/>
        </w:rPr>
        <w:t xml:space="preserve">the </w:t>
      </w:r>
      <w:r w:rsidRPr="007F2D8D">
        <w:rPr>
          <w:rFonts w:cs="Arial"/>
          <w:szCs w:val="22"/>
        </w:rPr>
        <w:t>sample surveys.</w:t>
      </w:r>
    </w:p>
    <w:p w14:paraId="1CB0E0CF" w14:textId="77777777" w:rsidR="000B5B9E" w:rsidRDefault="000B5B9E" w:rsidP="00A55140">
      <w:pPr>
        <w:rPr>
          <w:rFonts w:cs="Arial"/>
          <w:szCs w:val="22"/>
        </w:rPr>
      </w:pPr>
    </w:p>
    <w:p w14:paraId="521A18A7" w14:textId="70E502FF" w:rsidR="007543E4" w:rsidRPr="00A55140" w:rsidRDefault="007543E4" w:rsidP="00A55140">
      <w:pPr>
        <w:rPr>
          <w:rFonts w:cs="Arial"/>
          <w:szCs w:val="22"/>
        </w:rPr>
      </w:pPr>
      <w:r w:rsidRPr="00A55140">
        <w:rPr>
          <w:rFonts w:cs="Arial"/>
          <w:szCs w:val="22"/>
        </w:rPr>
        <w:t>Precision requirements:</w:t>
      </w:r>
    </w:p>
    <w:p w14:paraId="4E30ACF6" w14:textId="77777777" w:rsidR="007543E4" w:rsidRPr="003F5472" w:rsidRDefault="007543E4" w:rsidP="007543E4">
      <w:pPr>
        <w:rPr>
          <w:rFonts w:cs="Arial"/>
          <w:szCs w:val="22"/>
        </w:rPr>
      </w:pPr>
      <w:r w:rsidRPr="00A55140">
        <w:rPr>
          <w:rFonts w:cs="Arial"/>
          <w:szCs w:val="22"/>
        </w:rPr>
        <w:t>As per applicable methodology AMS-I.E., ver. 4, par. 17:</w:t>
      </w:r>
      <w:r w:rsidRPr="003F5472">
        <w:rPr>
          <w:rFonts w:eastAsia="MS Mincho" w:cs="Arial"/>
          <w:color w:val="000000"/>
          <w:szCs w:val="22"/>
        </w:rPr>
        <w:t xml:space="preserve"> </w:t>
      </w:r>
      <w:r w:rsidRPr="003F5472">
        <w:rPr>
          <w:rFonts w:eastAsia="MS Mincho" w:cs="Arial"/>
          <w:i/>
          <w:color w:val="000000"/>
          <w:szCs w:val="22"/>
        </w:rPr>
        <w:t>‘</w:t>
      </w:r>
      <w:r w:rsidRPr="00931A2A">
        <w:rPr>
          <w:rFonts w:cs="Arial"/>
          <w:i/>
          <w:szCs w:val="22"/>
        </w:rPr>
        <w:t>When biennial inspection is chosen a 95% confidence interval and a 5% margin of</w:t>
      </w:r>
      <w:r>
        <w:rPr>
          <w:rFonts w:cs="Arial"/>
          <w:i/>
          <w:szCs w:val="22"/>
        </w:rPr>
        <w:t xml:space="preserve"> </w:t>
      </w:r>
      <w:r w:rsidRPr="00931A2A">
        <w:rPr>
          <w:rFonts w:cs="Arial"/>
          <w:i/>
          <w:szCs w:val="22"/>
        </w:rPr>
        <w:t>error requirement shall be achieved for the sampling parameter.</w:t>
      </w:r>
    </w:p>
    <w:p w14:paraId="3C684198" w14:textId="77777777" w:rsidR="007543E4" w:rsidRPr="00AF07B7" w:rsidRDefault="007543E4" w:rsidP="007543E4">
      <w:pPr>
        <w:rPr>
          <w:rFonts w:cs="Arial"/>
          <w:szCs w:val="22"/>
        </w:rPr>
      </w:pPr>
    </w:p>
    <w:p w14:paraId="06A93119" w14:textId="77777777" w:rsidR="007543E4" w:rsidRPr="00A55140" w:rsidRDefault="007543E4" w:rsidP="007543E4">
      <w:pPr>
        <w:autoSpaceDE w:val="0"/>
        <w:autoSpaceDN w:val="0"/>
        <w:adjustRightInd w:val="0"/>
        <w:rPr>
          <w:rFonts w:cs="Arial"/>
          <w:szCs w:val="22"/>
        </w:rPr>
      </w:pPr>
      <w:r w:rsidRPr="00A55140">
        <w:rPr>
          <w:rFonts w:cs="Arial"/>
          <w:szCs w:val="22"/>
        </w:rPr>
        <w:t xml:space="preserve">Since project proponents chose to inspect biennial, a 95% confidence interval and a 5% margin of error requirement are applicable for this monitoring period. </w:t>
      </w:r>
    </w:p>
    <w:p w14:paraId="453C4529" w14:textId="77777777" w:rsidR="00BD62F5" w:rsidRPr="00BD62F5" w:rsidRDefault="00BD62F5" w:rsidP="00BD62F5"/>
    <w:p w14:paraId="4B071710" w14:textId="51269A25" w:rsidR="00BD62F5" w:rsidRDefault="00BD62F5" w:rsidP="00326F42">
      <w:pPr>
        <w:pStyle w:val="ListParagraph"/>
        <w:numPr>
          <w:ilvl w:val="0"/>
          <w:numId w:val="32"/>
        </w:numPr>
        <w:spacing w:after="0" w:line="240" w:lineRule="auto"/>
        <w:rPr>
          <w:rFonts w:cs="Arial"/>
          <w:szCs w:val="22"/>
          <w:u w:val="single"/>
        </w:rPr>
      </w:pPr>
      <w:r w:rsidRPr="00BD62F5">
        <w:rPr>
          <w:rFonts w:cs="Arial"/>
          <w:szCs w:val="22"/>
          <w:u w:val="single"/>
        </w:rPr>
        <w:t>Collected data, analysis and demonstration on whether the required confidence/precision has been met</w:t>
      </w:r>
    </w:p>
    <w:p w14:paraId="50F45C60" w14:textId="77777777" w:rsidR="007543E4" w:rsidRPr="00A55140" w:rsidRDefault="007543E4" w:rsidP="00A55140">
      <w:pPr>
        <w:spacing w:after="0" w:line="240" w:lineRule="auto"/>
        <w:rPr>
          <w:rFonts w:cs="Arial"/>
          <w:szCs w:val="22"/>
          <w:u w:val="single"/>
        </w:rPr>
      </w:pPr>
    </w:p>
    <w:p w14:paraId="6A0CA1D8" w14:textId="77777777" w:rsidR="00BD62F5" w:rsidRDefault="00BD62F5" w:rsidP="00BD62F5">
      <w:pPr>
        <w:rPr>
          <w:rFonts w:cs="Arial"/>
          <w:szCs w:val="22"/>
          <w:u w:val="single"/>
        </w:rPr>
      </w:pPr>
    </w:p>
    <w:tbl>
      <w:tblPr>
        <w:tblStyle w:val="GSBoldTable"/>
        <w:tblW w:w="0" w:type="auto"/>
        <w:tblLayout w:type="fixed"/>
        <w:tblLook w:val="04A0" w:firstRow="1" w:lastRow="0" w:firstColumn="1" w:lastColumn="0" w:noHBand="0" w:noVBand="1"/>
      </w:tblPr>
      <w:tblGrid>
        <w:gridCol w:w="1123"/>
        <w:gridCol w:w="595"/>
        <w:gridCol w:w="660"/>
        <w:gridCol w:w="911"/>
        <w:gridCol w:w="848"/>
        <w:gridCol w:w="859"/>
        <w:gridCol w:w="674"/>
        <w:gridCol w:w="851"/>
        <w:gridCol w:w="850"/>
        <w:gridCol w:w="709"/>
        <w:gridCol w:w="851"/>
        <w:gridCol w:w="701"/>
      </w:tblGrid>
      <w:tr w:rsidR="00DB24CC" w14:paraId="579D7E53" w14:textId="77777777" w:rsidTr="00DB24CC">
        <w:trPr>
          <w:cnfStyle w:val="100000000000" w:firstRow="1" w:lastRow="0" w:firstColumn="0" w:lastColumn="0" w:oddVBand="0" w:evenVBand="0" w:oddHBand="0" w:evenHBand="0" w:firstRowFirstColumn="0" w:firstRowLastColumn="0" w:lastRowFirstColumn="0" w:lastRowLastColumn="0"/>
        </w:trPr>
        <w:tc>
          <w:tcPr>
            <w:tcW w:w="1123" w:type="dxa"/>
          </w:tcPr>
          <w:p w14:paraId="70208ECC" w14:textId="77777777" w:rsidR="003012F5" w:rsidRDefault="003012F5" w:rsidP="00EF75ED">
            <w:pPr>
              <w:jc w:val="center"/>
              <w:rPr>
                <w:rFonts w:cs="Arial"/>
                <w:b/>
                <w:color w:val="FFFFFF" w:themeColor="background1"/>
                <w:sz w:val="14"/>
                <w:szCs w:val="14"/>
              </w:rPr>
            </w:pPr>
            <w:r w:rsidRPr="00A55140">
              <w:rPr>
                <w:rFonts w:cs="Arial"/>
                <w:b/>
                <w:color w:val="FFFFFF" w:themeColor="background1"/>
                <w:sz w:val="14"/>
                <w:szCs w:val="14"/>
              </w:rPr>
              <w:t>Para-</w:t>
            </w:r>
          </w:p>
          <w:p w14:paraId="01A9BDEE" w14:textId="6EA5F7CE" w:rsidR="003012F5" w:rsidRPr="00A55140" w:rsidRDefault="003012F5" w:rsidP="00EF75ED">
            <w:pPr>
              <w:jc w:val="center"/>
              <w:rPr>
                <w:rFonts w:cs="Arial"/>
                <w:b/>
                <w:color w:val="FFFFFF" w:themeColor="background1"/>
                <w:sz w:val="14"/>
                <w:szCs w:val="14"/>
              </w:rPr>
            </w:pPr>
            <w:r w:rsidRPr="00A55140">
              <w:rPr>
                <w:rFonts w:cs="Arial"/>
                <w:b/>
                <w:color w:val="FFFFFF" w:themeColor="background1"/>
                <w:sz w:val="14"/>
                <w:szCs w:val="14"/>
              </w:rPr>
              <w:t>meter</w:t>
            </w:r>
          </w:p>
        </w:tc>
        <w:tc>
          <w:tcPr>
            <w:tcW w:w="595" w:type="dxa"/>
          </w:tcPr>
          <w:p w14:paraId="67E7FA7F" w14:textId="73DB0EE7" w:rsidR="003012F5" w:rsidRPr="00A55140" w:rsidRDefault="003012F5" w:rsidP="00EF75ED">
            <w:pPr>
              <w:jc w:val="center"/>
              <w:rPr>
                <w:rFonts w:cs="Arial"/>
                <w:b/>
                <w:color w:val="FFFFFF" w:themeColor="background1"/>
                <w:sz w:val="14"/>
                <w:szCs w:val="14"/>
              </w:rPr>
            </w:pPr>
            <w:r w:rsidRPr="00A55140">
              <w:rPr>
                <w:rFonts w:cs="Arial"/>
                <w:b/>
                <w:color w:val="FFFFFF" w:themeColor="background1"/>
                <w:sz w:val="14"/>
                <w:szCs w:val="14"/>
              </w:rPr>
              <w:t>Cal-culat-ed sam-ple size</w:t>
            </w:r>
          </w:p>
        </w:tc>
        <w:tc>
          <w:tcPr>
            <w:tcW w:w="660" w:type="dxa"/>
          </w:tcPr>
          <w:p w14:paraId="4981CC54" w14:textId="3B925982" w:rsidR="003012F5" w:rsidRPr="00A55140" w:rsidRDefault="003012F5" w:rsidP="00EF75ED">
            <w:pPr>
              <w:jc w:val="center"/>
              <w:rPr>
                <w:rFonts w:cs="Arial"/>
                <w:b/>
                <w:color w:val="FFFFFF" w:themeColor="background1"/>
                <w:sz w:val="14"/>
                <w:szCs w:val="14"/>
              </w:rPr>
            </w:pPr>
            <w:r w:rsidRPr="00A55140">
              <w:rPr>
                <w:rFonts w:cs="Arial"/>
                <w:b/>
                <w:color w:val="FFFFFF" w:themeColor="background1"/>
                <w:sz w:val="14"/>
                <w:szCs w:val="14"/>
              </w:rPr>
              <w:t>As-sumed res-ponse rate</w:t>
            </w:r>
          </w:p>
        </w:tc>
        <w:tc>
          <w:tcPr>
            <w:tcW w:w="911" w:type="dxa"/>
          </w:tcPr>
          <w:p w14:paraId="138890EE" w14:textId="050CABC6" w:rsidR="003012F5" w:rsidRPr="00A55140" w:rsidRDefault="003012F5" w:rsidP="00EF75ED">
            <w:pPr>
              <w:jc w:val="center"/>
              <w:rPr>
                <w:rFonts w:cs="Arial"/>
                <w:b/>
                <w:color w:val="FFFFFF" w:themeColor="background1"/>
                <w:sz w:val="14"/>
                <w:szCs w:val="14"/>
              </w:rPr>
            </w:pPr>
            <w:r w:rsidRPr="00A55140">
              <w:rPr>
                <w:rFonts w:cs="Arial"/>
                <w:b/>
                <w:color w:val="FFFFFF" w:themeColor="background1"/>
                <w:sz w:val="14"/>
                <w:szCs w:val="14"/>
              </w:rPr>
              <w:t>Adjusted sample- size after consider-ing response rate</w:t>
            </w:r>
          </w:p>
        </w:tc>
        <w:tc>
          <w:tcPr>
            <w:tcW w:w="848" w:type="dxa"/>
          </w:tcPr>
          <w:p w14:paraId="792CA8D7" w14:textId="0F13984B" w:rsidR="003012F5" w:rsidRPr="00A55140" w:rsidRDefault="003012F5" w:rsidP="00EF75ED">
            <w:pPr>
              <w:jc w:val="center"/>
              <w:rPr>
                <w:rFonts w:cs="Arial"/>
                <w:b/>
                <w:color w:val="FFFFFF" w:themeColor="background1"/>
                <w:sz w:val="14"/>
                <w:szCs w:val="14"/>
              </w:rPr>
            </w:pPr>
            <w:r w:rsidRPr="00A55140">
              <w:rPr>
                <w:rFonts w:cs="Arial"/>
                <w:b/>
                <w:color w:val="FFFFFF" w:themeColor="background1"/>
                <w:sz w:val="14"/>
                <w:szCs w:val="14"/>
              </w:rPr>
              <w:t>Actual number of house-holds sampled to meet the sample size</w:t>
            </w:r>
          </w:p>
        </w:tc>
        <w:tc>
          <w:tcPr>
            <w:tcW w:w="859" w:type="dxa"/>
          </w:tcPr>
          <w:p w14:paraId="432221AE" w14:textId="23E012A4" w:rsidR="003012F5" w:rsidRPr="00A55140" w:rsidRDefault="003012F5" w:rsidP="00EF75ED">
            <w:pPr>
              <w:jc w:val="center"/>
              <w:rPr>
                <w:rFonts w:cs="Arial"/>
                <w:b/>
                <w:color w:val="FFFFFF" w:themeColor="background1"/>
                <w:sz w:val="14"/>
                <w:szCs w:val="14"/>
              </w:rPr>
            </w:pPr>
            <w:r w:rsidRPr="00A55140">
              <w:rPr>
                <w:rFonts w:cs="Arial"/>
                <w:b/>
                <w:color w:val="FFFFFF" w:themeColor="background1"/>
                <w:sz w:val="14"/>
                <w:szCs w:val="14"/>
              </w:rPr>
              <w:t>Res-ponse rate</w:t>
            </w:r>
          </w:p>
        </w:tc>
        <w:tc>
          <w:tcPr>
            <w:tcW w:w="674" w:type="dxa"/>
          </w:tcPr>
          <w:p w14:paraId="23B8320C" w14:textId="4341BC7C" w:rsidR="003012F5" w:rsidRPr="00A55140" w:rsidRDefault="003012F5" w:rsidP="00EF75ED">
            <w:pPr>
              <w:jc w:val="center"/>
              <w:rPr>
                <w:rFonts w:cs="Arial"/>
                <w:b/>
                <w:color w:val="FFFFFF" w:themeColor="background1"/>
                <w:sz w:val="14"/>
                <w:szCs w:val="14"/>
              </w:rPr>
            </w:pPr>
            <w:r w:rsidRPr="00A55140">
              <w:rPr>
                <w:rFonts w:cs="Arial"/>
                <w:b/>
                <w:color w:val="FFFFFF" w:themeColor="background1"/>
                <w:sz w:val="14"/>
                <w:szCs w:val="14"/>
              </w:rPr>
              <w:t>n* (valid res-ponses)</w:t>
            </w:r>
          </w:p>
        </w:tc>
        <w:tc>
          <w:tcPr>
            <w:tcW w:w="851" w:type="dxa"/>
          </w:tcPr>
          <w:p w14:paraId="31184270" w14:textId="29AF9882" w:rsidR="003012F5" w:rsidRPr="00A55140" w:rsidRDefault="003012F5" w:rsidP="00EF75ED">
            <w:pPr>
              <w:jc w:val="center"/>
              <w:rPr>
                <w:rFonts w:cs="Arial"/>
                <w:b/>
                <w:color w:val="FFFFFF" w:themeColor="background1"/>
                <w:sz w:val="14"/>
                <w:szCs w:val="14"/>
              </w:rPr>
            </w:pPr>
            <w:r w:rsidRPr="00A55140">
              <w:rPr>
                <w:rFonts w:cs="Arial"/>
                <w:b/>
                <w:color w:val="FFFFFF" w:themeColor="background1"/>
                <w:sz w:val="14"/>
                <w:szCs w:val="14"/>
              </w:rPr>
              <w:t xml:space="preserve">Value/ </w:t>
            </w:r>
            <w:r w:rsidR="00DB24CC">
              <w:rPr>
                <w:rFonts w:cs="Arial"/>
                <w:b/>
                <w:color w:val="FFFFFF" w:themeColor="background1"/>
                <w:sz w:val="14"/>
                <w:szCs w:val="14"/>
              </w:rPr>
              <w:t>Re</w:t>
            </w:r>
            <w:r w:rsidRPr="00A55140">
              <w:rPr>
                <w:rFonts w:cs="Arial"/>
                <w:b/>
                <w:color w:val="FFFFFF" w:themeColor="background1"/>
                <w:sz w:val="14"/>
                <w:szCs w:val="14"/>
              </w:rPr>
              <w:t>sult</w:t>
            </w:r>
          </w:p>
        </w:tc>
        <w:tc>
          <w:tcPr>
            <w:tcW w:w="850" w:type="dxa"/>
          </w:tcPr>
          <w:p w14:paraId="446872F1" w14:textId="21A5A0E4" w:rsidR="003012F5" w:rsidRPr="00A55140" w:rsidRDefault="003012F5" w:rsidP="00EF75ED">
            <w:pPr>
              <w:jc w:val="center"/>
              <w:rPr>
                <w:rFonts w:cs="Arial"/>
                <w:b/>
                <w:color w:val="FFFFFF" w:themeColor="background1"/>
                <w:sz w:val="14"/>
                <w:szCs w:val="14"/>
              </w:rPr>
            </w:pPr>
            <w:r w:rsidRPr="00A55140">
              <w:rPr>
                <w:rFonts w:cs="Arial"/>
                <w:b/>
                <w:color w:val="FFFFFF" w:themeColor="background1"/>
                <w:sz w:val="14"/>
                <w:szCs w:val="14"/>
              </w:rPr>
              <w:t>Stand-ard devi-ation</w:t>
            </w:r>
          </w:p>
        </w:tc>
        <w:tc>
          <w:tcPr>
            <w:tcW w:w="709" w:type="dxa"/>
          </w:tcPr>
          <w:p w14:paraId="41562AA7" w14:textId="56E8D162" w:rsidR="003012F5" w:rsidRPr="00A55140" w:rsidRDefault="003012F5" w:rsidP="00EF75ED">
            <w:pPr>
              <w:jc w:val="center"/>
              <w:rPr>
                <w:rFonts w:cs="Arial"/>
                <w:b/>
                <w:color w:val="FFFFFF" w:themeColor="background1"/>
                <w:sz w:val="14"/>
                <w:szCs w:val="14"/>
              </w:rPr>
            </w:pPr>
            <w:r w:rsidRPr="00A55140">
              <w:rPr>
                <w:rFonts w:cs="Arial"/>
                <w:b/>
                <w:color w:val="FFFFFF" w:themeColor="background1"/>
                <w:sz w:val="14"/>
                <w:szCs w:val="14"/>
              </w:rPr>
              <w:t>Confi-dence</w:t>
            </w:r>
          </w:p>
        </w:tc>
        <w:tc>
          <w:tcPr>
            <w:tcW w:w="851" w:type="dxa"/>
          </w:tcPr>
          <w:p w14:paraId="21AF2DE6" w14:textId="049B0A46" w:rsidR="003012F5" w:rsidRPr="00A55140" w:rsidRDefault="003012F5" w:rsidP="00EF75ED">
            <w:pPr>
              <w:jc w:val="center"/>
              <w:rPr>
                <w:rFonts w:cs="Arial"/>
                <w:b/>
                <w:color w:val="FFFFFF" w:themeColor="background1"/>
                <w:sz w:val="14"/>
                <w:szCs w:val="14"/>
              </w:rPr>
            </w:pPr>
            <w:r w:rsidRPr="00A55140">
              <w:rPr>
                <w:rFonts w:cs="Arial"/>
                <w:b/>
                <w:color w:val="FFFFFF" w:themeColor="background1"/>
                <w:sz w:val="14"/>
                <w:szCs w:val="14"/>
              </w:rPr>
              <w:t>Pre-cision</w:t>
            </w:r>
          </w:p>
        </w:tc>
        <w:tc>
          <w:tcPr>
            <w:tcW w:w="701" w:type="dxa"/>
          </w:tcPr>
          <w:p w14:paraId="2B816CE3" w14:textId="77777777" w:rsidR="00F057AD" w:rsidRDefault="00F057AD" w:rsidP="00EF75ED">
            <w:pPr>
              <w:jc w:val="center"/>
              <w:rPr>
                <w:rFonts w:cs="Arial"/>
                <w:b/>
                <w:color w:val="FFFFFF" w:themeColor="background1"/>
                <w:sz w:val="14"/>
                <w:szCs w:val="14"/>
              </w:rPr>
            </w:pPr>
            <w:r>
              <w:rPr>
                <w:rFonts w:cs="Arial"/>
                <w:b/>
                <w:color w:val="FFFFFF" w:themeColor="background1"/>
                <w:sz w:val="14"/>
                <w:szCs w:val="14"/>
              </w:rPr>
              <w:t>Lower</w:t>
            </w:r>
          </w:p>
          <w:p w14:paraId="5D73F634" w14:textId="7E2CE0BF" w:rsidR="00F057AD" w:rsidRDefault="00F057AD" w:rsidP="00EF75ED">
            <w:pPr>
              <w:jc w:val="center"/>
              <w:rPr>
                <w:rFonts w:cs="Arial"/>
                <w:b/>
                <w:color w:val="FFFFFF" w:themeColor="background1"/>
                <w:sz w:val="14"/>
                <w:szCs w:val="14"/>
              </w:rPr>
            </w:pPr>
            <w:r>
              <w:rPr>
                <w:rFonts w:cs="Arial"/>
                <w:b/>
                <w:color w:val="FFFFFF" w:themeColor="background1"/>
                <w:sz w:val="14"/>
                <w:szCs w:val="14"/>
              </w:rPr>
              <w:t>Bound</w:t>
            </w:r>
          </w:p>
          <w:p w14:paraId="2F89FC91" w14:textId="3F3488E1" w:rsidR="00F057AD" w:rsidRDefault="003012F5" w:rsidP="00EF75ED">
            <w:pPr>
              <w:jc w:val="center"/>
              <w:rPr>
                <w:rFonts w:cs="Arial"/>
                <w:b/>
                <w:color w:val="FFFFFF" w:themeColor="background1"/>
                <w:sz w:val="14"/>
                <w:szCs w:val="14"/>
              </w:rPr>
            </w:pPr>
            <w:r w:rsidRPr="00A55140">
              <w:rPr>
                <w:rFonts w:cs="Arial"/>
                <w:b/>
                <w:color w:val="FFFFFF" w:themeColor="background1"/>
                <w:sz w:val="14"/>
                <w:szCs w:val="14"/>
              </w:rPr>
              <w:t>appli-</w:t>
            </w:r>
          </w:p>
          <w:p w14:paraId="5880933D" w14:textId="1817D534" w:rsidR="003012F5" w:rsidRPr="00A55140" w:rsidRDefault="003012F5" w:rsidP="00EF75ED">
            <w:pPr>
              <w:jc w:val="center"/>
              <w:rPr>
                <w:rFonts w:cs="Arial"/>
                <w:b/>
                <w:color w:val="FFFFFF" w:themeColor="background1"/>
                <w:sz w:val="14"/>
                <w:szCs w:val="14"/>
              </w:rPr>
            </w:pPr>
            <w:r w:rsidRPr="00A55140">
              <w:rPr>
                <w:rFonts w:cs="Arial"/>
                <w:b/>
                <w:color w:val="FFFFFF" w:themeColor="background1"/>
                <w:sz w:val="14"/>
                <w:szCs w:val="14"/>
              </w:rPr>
              <w:t>cable?</w:t>
            </w:r>
          </w:p>
        </w:tc>
      </w:tr>
      <w:tr w:rsidR="00F057AD" w:rsidRPr="00C10C91" w14:paraId="6CDC3BE9" w14:textId="77777777" w:rsidTr="00DB24CC">
        <w:tc>
          <w:tcPr>
            <w:tcW w:w="1123" w:type="dxa"/>
          </w:tcPr>
          <w:p w14:paraId="47F1A8EB" w14:textId="69A5516A" w:rsidR="003012F5" w:rsidRPr="00660372" w:rsidRDefault="00F057AD" w:rsidP="00EF75ED">
            <w:pPr>
              <w:jc w:val="center"/>
              <w:rPr>
                <w:rFonts w:cs="Arial"/>
                <w:szCs w:val="22"/>
              </w:rPr>
            </w:pPr>
            <w:r>
              <w:rPr>
                <w:rFonts w:cs="Arial"/>
                <w:i/>
                <w:szCs w:val="22"/>
              </w:rPr>
              <w:t>DOy</w:t>
            </w:r>
          </w:p>
        </w:tc>
        <w:tc>
          <w:tcPr>
            <w:tcW w:w="595" w:type="dxa"/>
          </w:tcPr>
          <w:p w14:paraId="1CEA1923" w14:textId="77777777" w:rsidR="003012F5" w:rsidRPr="00C10C91" w:rsidRDefault="003012F5" w:rsidP="00EF75ED">
            <w:pPr>
              <w:jc w:val="center"/>
              <w:rPr>
                <w:rFonts w:cs="Arial"/>
                <w:szCs w:val="22"/>
              </w:rPr>
            </w:pPr>
            <w:r w:rsidRPr="00C10C91">
              <w:rPr>
                <w:rFonts w:cs="Arial"/>
                <w:szCs w:val="22"/>
              </w:rPr>
              <w:t>50</w:t>
            </w:r>
          </w:p>
        </w:tc>
        <w:tc>
          <w:tcPr>
            <w:tcW w:w="660" w:type="dxa"/>
          </w:tcPr>
          <w:p w14:paraId="5BD31E6B" w14:textId="77777777" w:rsidR="003012F5" w:rsidRPr="00C10C91" w:rsidRDefault="003012F5" w:rsidP="00EF75ED">
            <w:pPr>
              <w:jc w:val="center"/>
              <w:rPr>
                <w:rFonts w:cs="Arial"/>
                <w:szCs w:val="22"/>
              </w:rPr>
            </w:pPr>
            <w:r w:rsidRPr="00C10C91">
              <w:rPr>
                <w:rFonts w:cs="Arial"/>
                <w:szCs w:val="22"/>
              </w:rPr>
              <w:t>90%</w:t>
            </w:r>
          </w:p>
        </w:tc>
        <w:tc>
          <w:tcPr>
            <w:tcW w:w="911" w:type="dxa"/>
          </w:tcPr>
          <w:p w14:paraId="4D42CC62" w14:textId="77777777" w:rsidR="003012F5" w:rsidRPr="00C10C91" w:rsidRDefault="003012F5" w:rsidP="00EF75ED">
            <w:pPr>
              <w:jc w:val="center"/>
              <w:rPr>
                <w:rFonts w:cs="Arial"/>
                <w:szCs w:val="22"/>
              </w:rPr>
            </w:pPr>
            <w:r w:rsidRPr="00C10C91">
              <w:rPr>
                <w:rFonts w:cs="Arial"/>
                <w:szCs w:val="22"/>
              </w:rPr>
              <w:t>56</w:t>
            </w:r>
          </w:p>
        </w:tc>
        <w:tc>
          <w:tcPr>
            <w:tcW w:w="848" w:type="dxa"/>
          </w:tcPr>
          <w:p w14:paraId="16A79974" w14:textId="77777777" w:rsidR="003012F5" w:rsidRPr="00C10C91" w:rsidRDefault="003012F5" w:rsidP="00EF75ED">
            <w:pPr>
              <w:jc w:val="center"/>
              <w:rPr>
                <w:rFonts w:cs="Arial"/>
                <w:szCs w:val="22"/>
              </w:rPr>
            </w:pPr>
            <w:r w:rsidRPr="00C10C91">
              <w:rPr>
                <w:rFonts w:cs="Arial"/>
                <w:szCs w:val="22"/>
              </w:rPr>
              <w:t>56</w:t>
            </w:r>
          </w:p>
        </w:tc>
        <w:tc>
          <w:tcPr>
            <w:tcW w:w="859" w:type="dxa"/>
          </w:tcPr>
          <w:p w14:paraId="45C92F0F" w14:textId="2224B333" w:rsidR="003012F5" w:rsidRPr="00C10C91" w:rsidRDefault="003012F5" w:rsidP="00EF75ED">
            <w:pPr>
              <w:jc w:val="center"/>
              <w:rPr>
                <w:rFonts w:cs="Arial"/>
                <w:szCs w:val="22"/>
              </w:rPr>
            </w:pPr>
            <w:r w:rsidRPr="00C10C91">
              <w:rPr>
                <w:rFonts w:cs="Arial"/>
                <w:szCs w:val="22"/>
              </w:rPr>
              <w:t>92,8%</w:t>
            </w:r>
          </w:p>
        </w:tc>
        <w:tc>
          <w:tcPr>
            <w:tcW w:w="674" w:type="dxa"/>
          </w:tcPr>
          <w:p w14:paraId="6FC84666" w14:textId="12976419" w:rsidR="003012F5" w:rsidRPr="00C10C91" w:rsidRDefault="003012F5" w:rsidP="00EF75ED">
            <w:pPr>
              <w:jc w:val="center"/>
              <w:rPr>
                <w:rFonts w:cs="Arial"/>
                <w:szCs w:val="22"/>
              </w:rPr>
            </w:pPr>
            <w:r w:rsidRPr="00C10C91">
              <w:rPr>
                <w:rFonts w:cs="Arial"/>
                <w:szCs w:val="22"/>
              </w:rPr>
              <w:t>52</w:t>
            </w:r>
          </w:p>
        </w:tc>
        <w:tc>
          <w:tcPr>
            <w:tcW w:w="851" w:type="dxa"/>
          </w:tcPr>
          <w:p w14:paraId="0CA2C522" w14:textId="62152DB2" w:rsidR="003012F5" w:rsidRPr="00C10C91" w:rsidRDefault="003012F5" w:rsidP="00EF75ED">
            <w:pPr>
              <w:jc w:val="center"/>
              <w:rPr>
                <w:rFonts w:cs="Arial"/>
                <w:szCs w:val="22"/>
              </w:rPr>
            </w:pPr>
            <w:r w:rsidRPr="00C10C91">
              <w:rPr>
                <w:rFonts w:cs="Arial"/>
                <w:szCs w:val="22"/>
              </w:rPr>
              <w:t>0%</w:t>
            </w:r>
          </w:p>
        </w:tc>
        <w:tc>
          <w:tcPr>
            <w:tcW w:w="850" w:type="dxa"/>
          </w:tcPr>
          <w:p w14:paraId="232DAECF" w14:textId="13CE2AC8" w:rsidR="003012F5" w:rsidRPr="00C10C91" w:rsidRDefault="003012F5" w:rsidP="00EF75ED">
            <w:pPr>
              <w:jc w:val="center"/>
              <w:rPr>
                <w:rFonts w:cs="Arial"/>
                <w:szCs w:val="22"/>
              </w:rPr>
            </w:pPr>
            <w:r w:rsidRPr="00C10C91">
              <w:rPr>
                <w:rFonts w:cs="Arial"/>
                <w:szCs w:val="22"/>
              </w:rPr>
              <w:t>n/a</w:t>
            </w:r>
          </w:p>
        </w:tc>
        <w:tc>
          <w:tcPr>
            <w:tcW w:w="709" w:type="dxa"/>
          </w:tcPr>
          <w:p w14:paraId="36B6C66A" w14:textId="760E71B9" w:rsidR="003012F5" w:rsidRPr="00C10C91" w:rsidRDefault="003012F5" w:rsidP="00EF75ED">
            <w:pPr>
              <w:jc w:val="center"/>
              <w:rPr>
                <w:rFonts w:cs="Arial"/>
                <w:szCs w:val="22"/>
              </w:rPr>
            </w:pPr>
            <w:r w:rsidRPr="00C10C91">
              <w:rPr>
                <w:rFonts w:cs="Arial"/>
                <w:szCs w:val="22"/>
              </w:rPr>
              <w:t>95%</w:t>
            </w:r>
          </w:p>
        </w:tc>
        <w:tc>
          <w:tcPr>
            <w:tcW w:w="851" w:type="dxa"/>
          </w:tcPr>
          <w:p w14:paraId="1CE6B118" w14:textId="77777777" w:rsidR="003012F5" w:rsidRPr="00C10C91" w:rsidRDefault="003012F5" w:rsidP="00EF75ED">
            <w:pPr>
              <w:jc w:val="center"/>
              <w:rPr>
                <w:rFonts w:cs="Arial"/>
                <w:szCs w:val="22"/>
              </w:rPr>
            </w:pPr>
            <w:r w:rsidRPr="00C10C91">
              <w:rPr>
                <w:rFonts w:cs="Arial"/>
                <w:szCs w:val="22"/>
              </w:rPr>
              <w:t>0%</w:t>
            </w:r>
          </w:p>
        </w:tc>
        <w:tc>
          <w:tcPr>
            <w:tcW w:w="701" w:type="dxa"/>
          </w:tcPr>
          <w:p w14:paraId="59249E5D" w14:textId="06313B42" w:rsidR="003012F5" w:rsidRPr="00C10C91" w:rsidRDefault="003012F5" w:rsidP="00EF75ED">
            <w:pPr>
              <w:jc w:val="center"/>
              <w:rPr>
                <w:rFonts w:cs="Arial"/>
                <w:szCs w:val="22"/>
              </w:rPr>
            </w:pPr>
            <w:r w:rsidRPr="00C10C91">
              <w:rPr>
                <w:rFonts w:cs="Arial"/>
                <w:szCs w:val="22"/>
              </w:rPr>
              <w:t>No</w:t>
            </w:r>
          </w:p>
        </w:tc>
      </w:tr>
      <w:tr w:rsidR="007F1018" w:rsidRPr="00C10C91" w14:paraId="1942E873" w14:textId="77777777" w:rsidTr="00DB24CC">
        <w:tc>
          <w:tcPr>
            <w:tcW w:w="1123" w:type="dxa"/>
          </w:tcPr>
          <w:p w14:paraId="4B3604EA" w14:textId="16218012" w:rsidR="007F1018" w:rsidRDefault="00672E18" w:rsidP="00672E18">
            <w:pPr>
              <w:jc w:val="center"/>
              <w:rPr>
                <w:rFonts w:cs="Arial"/>
                <w:i/>
                <w:szCs w:val="22"/>
              </w:rPr>
            </w:pPr>
            <w:r>
              <w:rPr>
                <w:rFonts w:cs="Arial"/>
                <w:i/>
                <w:sz w:val="20"/>
                <w:szCs w:val="22"/>
              </w:rPr>
              <w:t>Impr.</w:t>
            </w:r>
            <w:r w:rsidR="007F1018" w:rsidRPr="007F1018">
              <w:rPr>
                <w:rFonts w:cs="Arial"/>
                <w:i/>
                <w:sz w:val="20"/>
                <w:szCs w:val="22"/>
              </w:rPr>
              <w:t xml:space="preserve"> of</w:t>
            </w:r>
            <w:r w:rsidR="00B81D0C">
              <w:rPr>
                <w:rFonts w:cs="Arial"/>
                <w:i/>
                <w:sz w:val="20"/>
                <w:szCs w:val="22"/>
              </w:rPr>
              <w:t xml:space="preserve"> air quality</w:t>
            </w:r>
          </w:p>
        </w:tc>
        <w:tc>
          <w:tcPr>
            <w:tcW w:w="595" w:type="dxa"/>
          </w:tcPr>
          <w:p w14:paraId="726763DD" w14:textId="18F04094" w:rsidR="007F1018" w:rsidRPr="00C10C91" w:rsidRDefault="007F1018" w:rsidP="00EF75ED">
            <w:pPr>
              <w:jc w:val="center"/>
              <w:rPr>
                <w:rFonts w:cs="Arial"/>
                <w:szCs w:val="22"/>
              </w:rPr>
            </w:pPr>
            <w:r w:rsidRPr="00C10C91">
              <w:rPr>
                <w:rFonts w:cs="Arial"/>
                <w:szCs w:val="22"/>
              </w:rPr>
              <w:t>50</w:t>
            </w:r>
          </w:p>
        </w:tc>
        <w:tc>
          <w:tcPr>
            <w:tcW w:w="660" w:type="dxa"/>
          </w:tcPr>
          <w:p w14:paraId="036F13D8" w14:textId="4C928495" w:rsidR="007F1018" w:rsidRPr="00C10C91" w:rsidRDefault="007F1018" w:rsidP="00EF75ED">
            <w:pPr>
              <w:jc w:val="center"/>
              <w:rPr>
                <w:rFonts w:cs="Arial"/>
                <w:szCs w:val="22"/>
              </w:rPr>
            </w:pPr>
            <w:r w:rsidRPr="00C10C91">
              <w:rPr>
                <w:rFonts w:cs="Arial"/>
                <w:szCs w:val="22"/>
              </w:rPr>
              <w:t>90%</w:t>
            </w:r>
          </w:p>
        </w:tc>
        <w:tc>
          <w:tcPr>
            <w:tcW w:w="911" w:type="dxa"/>
          </w:tcPr>
          <w:p w14:paraId="5758F100" w14:textId="111D92BC" w:rsidR="007F1018" w:rsidRPr="00C10C91" w:rsidRDefault="007F1018" w:rsidP="00EF75ED">
            <w:pPr>
              <w:jc w:val="center"/>
              <w:rPr>
                <w:rFonts w:cs="Arial"/>
                <w:szCs w:val="22"/>
              </w:rPr>
            </w:pPr>
            <w:r w:rsidRPr="00C10C91">
              <w:rPr>
                <w:rFonts w:cs="Arial"/>
                <w:szCs w:val="22"/>
              </w:rPr>
              <w:t>56</w:t>
            </w:r>
          </w:p>
        </w:tc>
        <w:tc>
          <w:tcPr>
            <w:tcW w:w="848" w:type="dxa"/>
          </w:tcPr>
          <w:p w14:paraId="0A227B4C" w14:textId="1C67280D" w:rsidR="007F1018" w:rsidRPr="00C10C91" w:rsidRDefault="007F1018" w:rsidP="00EF75ED">
            <w:pPr>
              <w:jc w:val="center"/>
              <w:rPr>
                <w:rFonts w:cs="Arial"/>
                <w:szCs w:val="22"/>
              </w:rPr>
            </w:pPr>
            <w:r w:rsidRPr="00C10C91">
              <w:rPr>
                <w:rFonts w:cs="Arial"/>
                <w:szCs w:val="22"/>
              </w:rPr>
              <w:t>56</w:t>
            </w:r>
          </w:p>
        </w:tc>
        <w:tc>
          <w:tcPr>
            <w:tcW w:w="859" w:type="dxa"/>
          </w:tcPr>
          <w:p w14:paraId="67E0D478" w14:textId="227B2152" w:rsidR="007F1018" w:rsidRPr="00C10C91" w:rsidRDefault="007F1018" w:rsidP="00EF75ED">
            <w:pPr>
              <w:jc w:val="center"/>
              <w:rPr>
                <w:rFonts w:cs="Arial"/>
                <w:szCs w:val="22"/>
              </w:rPr>
            </w:pPr>
            <w:r w:rsidRPr="00C10C91">
              <w:rPr>
                <w:rFonts w:cs="Arial"/>
                <w:szCs w:val="22"/>
              </w:rPr>
              <w:t>92,8%</w:t>
            </w:r>
          </w:p>
        </w:tc>
        <w:tc>
          <w:tcPr>
            <w:tcW w:w="674" w:type="dxa"/>
          </w:tcPr>
          <w:p w14:paraId="3743F2D6" w14:textId="3E1DA2BA" w:rsidR="007F1018" w:rsidRPr="00C10C91" w:rsidRDefault="007F1018" w:rsidP="00EF75ED">
            <w:pPr>
              <w:jc w:val="center"/>
              <w:rPr>
                <w:rFonts w:cs="Arial"/>
                <w:szCs w:val="22"/>
              </w:rPr>
            </w:pPr>
            <w:r w:rsidRPr="00C10C91">
              <w:rPr>
                <w:rFonts w:cs="Arial"/>
                <w:szCs w:val="22"/>
              </w:rPr>
              <w:t>52</w:t>
            </w:r>
          </w:p>
        </w:tc>
        <w:tc>
          <w:tcPr>
            <w:tcW w:w="851" w:type="dxa"/>
          </w:tcPr>
          <w:p w14:paraId="44C7BD28" w14:textId="46034294" w:rsidR="007F1018" w:rsidRPr="00C10C91" w:rsidRDefault="00DB24CC" w:rsidP="00B81D0C">
            <w:pPr>
              <w:jc w:val="center"/>
              <w:rPr>
                <w:rFonts w:cs="Arial"/>
                <w:sz w:val="14"/>
                <w:szCs w:val="22"/>
              </w:rPr>
            </w:pPr>
            <w:r w:rsidRPr="00C10C91">
              <w:rPr>
                <w:rFonts w:cs="Arial"/>
                <w:szCs w:val="22"/>
              </w:rPr>
              <w:t>96%</w:t>
            </w:r>
          </w:p>
        </w:tc>
        <w:tc>
          <w:tcPr>
            <w:tcW w:w="850" w:type="dxa"/>
          </w:tcPr>
          <w:p w14:paraId="3DB070F6" w14:textId="6E9065B7" w:rsidR="007F1018" w:rsidRPr="00C10C91" w:rsidRDefault="00DB24CC" w:rsidP="00EF75ED">
            <w:pPr>
              <w:jc w:val="center"/>
              <w:rPr>
                <w:rFonts w:cs="Arial"/>
                <w:szCs w:val="22"/>
              </w:rPr>
            </w:pPr>
            <w:r w:rsidRPr="00C10C91">
              <w:rPr>
                <w:rFonts w:cs="Arial"/>
                <w:szCs w:val="22"/>
              </w:rPr>
              <w:t>0,03</w:t>
            </w:r>
          </w:p>
        </w:tc>
        <w:tc>
          <w:tcPr>
            <w:tcW w:w="709" w:type="dxa"/>
          </w:tcPr>
          <w:p w14:paraId="34EA6782" w14:textId="2BF74AD7" w:rsidR="007F1018" w:rsidRPr="00C10C91" w:rsidRDefault="007F1018" w:rsidP="00EF75ED">
            <w:pPr>
              <w:jc w:val="center"/>
              <w:rPr>
                <w:rFonts w:cs="Arial"/>
                <w:szCs w:val="22"/>
              </w:rPr>
            </w:pPr>
            <w:r w:rsidRPr="00C10C91">
              <w:rPr>
                <w:rFonts w:cs="Arial"/>
                <w:szCs w:val="22"/>
              </w:rPr>
              <w:t>95%</w:t>
            </w:r>
          </w:p>
        </w:tc>
        <w:tc>
          <w:tcPr>
            <w:tcW w:w="851" w:type="dxa"/>
          </w:tcPr>
          <w:p w14:paraId="1F91AD69" w14:textId="1662337D" w:rsidR="007F1018" w:rsidRPr="00C10C91" w:rsidRDefault="00DB24CC" w:rsidP="00EF75ED">
            <w:pPr>
              <w:jc w:val="center"/>
              <w:rPr>
                <w:rFonts w:cs="Arial"/>
                <w:szCs w:val="22"/>
              </w:rPr>
            </w:pPr>
            <w:r w:rsidRPr="00C10C91">
              <w:rPr>
                <w:rFonts w:cs="Arial"/>
                <w:szCs w:val="22"/>
              </w:rPr>
              <w:t>5,26</w:t>
            </w:r>
            <w:r w:rsidR="007F1018" w:rsidRPr="00C10C91">
              <w:rPr>
                <w:rFonts w:cs="Arial"/>
                <w:szCs w:val="22"/>
              </w:rPr>
              <w:t>%</w:t>
            </w:r>
          </w:p>
        </w:tc>
        <w:tc>
          <w:tcPr>
            <w:tcW w:w="701" w:type="dxa"/>
          </w:tcPr>
          <w:p w14:paraId="32B65E0D" w14:textId="4BD7279E" w:rsidR="007F1018" w:rsidRPr="00C10C91" w:rsidRDefault="00DB24CC" w:rsidP="00EF75ED">
            <w:pPr>
              <w:jc w:val="center"/>
              <w:rPr>
                <w:rFonts w:cs="Arial"/>
                <w:szCs w:val="22"/>
              </w:rPr>
            </w:pPr>
            <w:r w:rsidRPr="00C10C91">
              <w:rPr>
                <w:rFonts w:cs="Arial"/>
                <w:szCs w:val="22"/>
              </w:rPr>
              <w:t>Yes</w:t>
            </w:r>
          </w:p>
        </w:tc>
      </w:tr>
      <w:tr w:rsidR="00DB24CC" w:rsidRPr="00C10C91" w14:paraId="29EDD272" w14:textId="77777777" w:rsidTr="00DB24CC">
        <w:tc>
          <w:tcPr>
            <w:tcW w:w="1123" w:type="dxa"/>
          </w:tcPr>
          <w:p w14:paraId="5C92C97C" w14:textId="38F65FB8" w:rsidR="00DB24CC" w:rsidRPr="007F1018" w:rsidRDefault="00672E18" w:rsidP="00DB24CC">
            <w:pPr>
              <w:jc w:val="center"/>
              <w:rPr>
                <w:rFonts w:cs="Arial"/>
                <w:i/>
                <w:sz w:val="20"/>
                <w:szCs w:val="22"/>
              </w:rPr>
            </w:pPr>
            <w:r>
              <w:rPr>
                <w:rFonts w:cs="Arial"/>
                <w:i/>
                <w:sz w:val="20"/>
                <w:szCs w:val="22"/>
              </w:rPr>
              <w:t>Impr.</w:t>
            </w:r>
            <w:r w:rsidR="00DB24CC" w:rsidRPr="007F1018">
              <w:rPr>
                <w:rFonts w:cs="Arial"/>
                <w:i/>
                <w:sz w:val="20"/>
                <w:szCs w:val="22"/>
              </w:rPr>
              <w:t xml:space="preserve"> of</w:t>
            </w:r>
            <w:r w:rsidR="00DB24CC">
              <w:rPr>
                <w:rFonts w:cs="Arial"/>
                <w:i/>
                <w:sz w:val="20"/>
                <w:szCs w:val="22"/>
              </w:rPr>
              <w:t xml:space="preserve"> </w:t>
            </w:r>
            <w:r w:rsidR="00DB24CC" w:rsidRPr="007F1018">
              <w:rPr>
                <w:rFonts w:cs="Arial"/>
                <w:i/>
                <w:sz w:val="20"/>
                <w:szCs w:val="22"/>
              </w:rPr>
              <w:t>resp. problems</w:t>
            </w:r>
          </w:p>
        </w:tc>
        <w:tc>
          <w:tcPr>
            <w:tcW w:w="595" w:type="dxa"/>
          </w:tcPr>
          <w:p w14:paraId="064876F6" w14:textId="7A171A7D" w:rsidR="00DB24CC" w:rsidRPr="00C10C91" w:rsidRDefault="00DB24CC" w:rsidP="00DB24CC">
            <w:pPr>
              <w:jc w:val="center"/>
              <w:rPr>
                <w:rFonts w:cs="Arial"/>
                <w:szCs w:val="22"/>
              </w:rPr>
            </w:pPr>
            <w:r w:rsidRPr="00C10C91">
              <w:rPr>
                <w:rFonts w:cs="Arial"/>
                <w:szCs w:val="22"/>
              </w:rPr>
              <w:t>50</w:t>
            </w:r>
          </w:p>
        </w:tc>
        <w:tc>
          <w:tcPr>
            <w:tcW w:w="660" w:type="dxa"/>
          </w:tcPr>
          <w:p w14:paraId="250877D6" w14:textId="63602931" w:rsidR="00DB24CC" w:rsidRPr="00C10C91" w:rsidRDefault="00DB24CC" w:rsidP="00DB24CC">
            <w:pPr>
              <w:jc w:val="center"/>
              <w:rPr>
                <w:rFonts w:cs="Arial"/>
                <w:szCs w:val="22"/>
              </w:rPr>
            </w:pPr>
            <w:r w:rsidRPr="00C10C91">
              <w:rPr>
                <w:rFonts w:cs="Arial"/>
                <w:szCs w:val="22"/>
              </w:rPr>
              <w:t>90%</w:t>
            </w:r>
          </w:p>
        </w:tc>
        <w:tc>
          <w:tcPr>
            <w:tcW w:w="911" w:type="dxa"/>
          </w:tcPr>
          <w:p w14:paraId="50EA169F" w14:textId="7B191955" w:rsidR="00DB24CC" w:rsidRPr="00C10C91" w:rsidRDefault="00DB24CC" w:rsidP="00DB24CC">
            <w:pPr>
              <w:jc w:val="center"/>
              <w:rPr>
                <w:rFonts w:cs="Arial"/>
                <w:szCs w:val="22"/>
              </w:rPr>
            </w:pPr>
            <w:r w:rsidRPr="00C10C91">
              <w:rPr>
                <w:rFonts w:cs="Arial"/>
                <w:szCs w:val="22"/>
              </w:rPr>
              <w:t>56</w:t>
            </w:r>
          </w:p>
        </w:tc>
        <w:tc>
          <w:tcPr>
            <w:tcW w:w="848" w:type="dxa"/>
          </w:tcPr>
          <w:p w14:paraId="3F72AF59" w14:textId="0CEDDE99" w:rsidR="00DB24CC" w:rsidRPr="00C10C91" w:rsidRDefault="00DB24CC" w:rsidP="00DB24CC">
            <w:pPr>
              <w:jc w:val="center"/>
              <w:rPr>
                <w:rFonts w:cs="Arial"/>
                <w:szCs w:val="22"/>
              </w:rPr>
            </w:pPr>
            <w:r w:rsidRPr="00C10C91">
              <w:rPr>
                <w:rFonts w:cs="Arial"/>
                <w:szCs w:val="22"/>
              </w:rPr>
              <w:t>56</w:t>
            </w:r>
          </w:p>
        </w:tc>
        <w:tc>
          <w:tcPr>
            <w:tcW w:w="859" w:type="dxa"/>
          </w:tcPr>
          <w:p w14:paraId="2DBDBE27" w14:textId="1C814BDB" w:rsidR="00DB24CC" w:rsidRPr="00C10C91" w:rsidRDefault="00DB24CC" w:rsidP="00DB24CC">
            <w:pPr>
              <w:jc w:val="center"/>
              <w:rPr>
                <w:rFonts w:cs="Arial"/>
                <w:szCs w:val="22"/>
              </w:rPr>
            </w:pPr>
            <w:r w:rsidRPr="00C10C91">
              <w:rPr>
                <w:rFonts w:cs="Arial"/>
                <w:szCs w:val="22"/>
              </w:rPr>
              <w:t>92,8%</w:t>
            </w:r>
          </w:p>
        </w:tc>
        <w:tc>
          <w:tcPr>
            <w:tcW w:w="674" w:type="dxa"/>
          </w:tcPr>
          <w:p w14:paraId="6334A952" w14:textId="2747D3D9" w:rsidR="00DB24CC" w:rsidRPr="00C10C91" w:rsidRDefault="00DB24CC" w:rsidP="00DB24CC">
            <w:pPr>
              <w:jc w:val="center"/>
              <w:rPr>
                <w:rFonts w:cs="Arial"/>
                <w:szCs w:val="22"/>
              </w:rPr>
            </w:pPr>
            <w:r w:rsidRPr="00C10C91">
              <w:rPr>
                <w:rFonts w:cs="Arial"/>
                <w:szCs w:val="22"/>
              </w:rPr>
              <w:t>52</w:t>
            </w:r>
          </w:p>
        </w:tc>
        <w:tc>
          <w:tcPr>
            <w:tcW w:w="851" w:type="dxa"/>
          </w:tcPr>
          <w:p w14:paraId="76508FBE" w14:textId="32F2E6A6" w:rsidR="00DB24CC" w:rsidRPr="00C10C91" w:rsidRDefault="00DB24CC" w:rsidP="00DB24CC">
            <w:pPr>
              <w:jc w:val="center"/>
              <w:rPr>
                <w:rFonts w:cs="Arial"/>
                <w:szCs w:val="22"/>
              </w:rPr>
            </w:pPr>
            <w:r w:rsidRPr="00C10C91">
              <w:rPr>
                <w:rFonts w:cs="Arial"/>
                <w:szCs w:val="22"/>
              </w:rPr>
              <w:t>100%</w:t>
            </w:r>
          </w:p>
        </w:tc>
        <w:tc>
          <w:tcPr>
            <w:tcW w:w="850" w:type="dxa"/>
          </w:tcPr>
          <w:p w14:paraId="0BA76DE1" w14:textId="630C328F" w:rsidR="00DB24CC" w:rsidRPr="00C10C91" w:rsidRDefault="00DB24CC" w:rsidP="00DB24CC">
            <w:pPr>
              <w:jc w:val="center"/>
              <w:rPr>
                <w:rFonts w:cs="Arial"/>
                <w:szCs w:val="22"/>
              </w:rPr>
            </w:pPr>
            <w:r w:rsidRPr="00C10C91">
              <w:rPr>
                <w:rFonts w:cs="Arial"/>
                <w:szCs w:val="22"/>
              </w:rPr>
              <w:t>n/a</w:t>
            </w:r>
          </w:p>
        </w:tc>
        <w:tc>
          <w:tcPr>
            <w:tcW w:w="709" w:type="dxa"/>
          </w:tcPr>
          <w:p w14:paraId="312EFBF9" w14:textId="65FC7BFA" w:rsidR="00DB24CC" w:rsidRPr="00C10C91" w:rsidRDefault="00DB24CC" w:rsidP="00DB24CC">
            <w:pPr>
              <w:jc w:val="center"/>
              <w:rPr>
                <w:rFonts w:cs="Arial"/>
                <w:szCs w:val="22"/>
              </w:rPr>
            </w:pPr>
            <w:r w:rsidRPr="00C10C91">
              <w:rPr>
                <w:rFonts w:cs="Arial"/>
                <w:szCs w:val="22"/>
              </w:rPr>
              <w:t>95%</w:t>
            </w:r>
          </w:p>
        </w:tc>
        <w:tc>
          <w:tcPr>
            <w:tcW w:w="851" w:type="dxa"/>
          </w:tcPr>
          <w:p w14:paraId="728551E0" w14:textId="222D1278" w:rsidR="00DB24CC" w:rsidRPr="00C10C91" w:rsidRDefault="00DB24CC" w:rsidP="00DB24CC">
            <w:pPr>
              <w:jc w:val="center"/>
              <w:rPr>
                <w:rFonts w:cs="Arial"/>
                <w:szCs w:val="22"/>
              </w:rPr>
            </w:pPr>
            <w:r w:rsidRPr="00C10C91">
              <w:rPr>
                <w:rFonts w:cs="Arial"/>
                <w:szCs w:val="22"/>
              </w:rPr>
              <w:t>0%</w:t>
            </w:r>
          </w:p>
        </w:tc>
        <w:tc>
          <w:tcPr>
            <w:tcW w:w="701" w:type="dxa"/>
          </w:tcPr>
          <w:p w14:paraId="7FA2F715" w14:textId="0F09E020" w:rsidR="00DB24CC" w:rsidRPr="00C10C91" w:rsidRDefault="00DB24CC" w:rsidP="00DB24CC">
            <w:pPr>
              <w:jc w:val="center"/>
              <w:rPr>
                <w:rFonts w:cs="Arial"/>
                <w:szCs w:val="22"/>
              </w:rPr>
            </w:pPr>
            <w:r w:rsidRPr="00C10C91">
              <w:rPr>
                <w:rFonts w:cs="Arial"/>
                <w:szCs w:val="22"/>
              </w:rPr>
              <w:t>No</w:t>
            </w:r>
          </w:p>
        </w:tc>
      </w:tr>
    </w:tbl>
    <w:p w14:paraId="6EEA4F33" w14:textId="081894A0" w:rsidR="00E51EF3" w:rsidRPr="003B1DEE" w:rsidRDefault="00E51EF3" w:rsidP="00E51EF3">
      <w:pPr>
        <w:spacing w:line="276" w:lineRule="auto"/>
        <w:contextualSpacing w:val="0"/>
      </w:pPr>
    </w:p>
    <w:p w14:paraId="7E3053E5" w14:textId="61FEF116" w:rsidR="00816579" w:rsidRPr="00241108" w:rsidRDefault="009C150E" w:rsidP="00465B23">
      <w:pPr>
        <w:pStyle w:val="Heading4"/>
      </w:pPr>
      <w:bookmarkStart w:id="33" w:name="_Toc315189228"/>
      <w:bookmarkStart w:id="34" w:name="_Toc317860226"/>
      <w:bookmarkStart w:id="35" w:name="_Toc341474081"/>
      <w:bookmarkStart w:id="36" w:name="_Toc40962779"/>
      <w:bookmarkStart w:id="37" w:name="_Ref47706333"/>
      <w:bookmarkStart w:id="38" w:name="_Ref49860683"/>
      <w:r>
        <w:t xml:space="preserve">SECTION E. </w:t>
      </w:r>
      <w:r w:rsidR="00816579" w:rsidRPr="00241108">
        <w:t xml:space="preserve">CALCULATION OF </w:t>
      </w:r>
      <w:bookmarkEnd w:id="33"/>
      <w:bookmarkEnd w:id="34"/>
      <w:bookmarkEnd w:id="35"/>
      <w:r w:rsidR="00816579" w:rsidRPr="00241108">
        <w:t xml:space="preserve">SDG </w:t>
      </w:r>
      <w:r w:rsidR="00816579">
        <w:t>IMPACTS</w:t>
      </w:r>
      <w:bookmarkEnd w:id="36"/>
      <w:bookmarkEnd w:id="37"/>
      <w:bookmarkEnd w:id="38"/>
    </w:p>
    <w:p w14:paraId="1F0F7FD0" w14:textId="326CF7DC" w:rsidR="00816579" w:rsidRPr="00241108" w:rsidRDefault="009C150E" w:rsidP="009C150E">
      <w:pPr>
        <w:pStyle w:val="Heading5"/>
      </w:pPr>
      <w:bookmarkStart w:id="39" w:name="_Ref315873983"/>
      <w:bookmarkStart w:id="40" w:name="_Ref418095428"/>
      <w:bookmarkStart w:id="41" w:name="_Toc40962780"/>
      <w:r>
        <w:t xml:space="preserve">E.1. </w:t>
      </w:r>
      <w:r w:rsidR="00816579" w:rsidRPr="00241108">
        <w:t xml:space="preserve">Calculation of baseline </w:t>
      </w:r>
      <w:bookmarkEnd w:id="39"/>
      <w:bookmarkEnd w:id="40"/>
      <w:r w:rsidR="00816579" w:rsidRPr="00241108">
        <w:t xml:space="preserve">value or estimation of baseline situation of each SDG </w:t>
      </w:r>
      <w:r w:rsidR="00816579">
        <w:t>Impact</w:t>
      </w:r>
      <w:bookmarkEnd w:id="41"/>
    </w:p>
    <w:p w14:paraId="6D459C1E" w14:textId="77777777" w:rsidR="009C365D" w:rsidRDefault="009C365D" w:rsidP="009C365D"/>
    <w:p w14:paraId="30A71FB6" w14:textId="1EF78EB8" w:rsidR="00816579" w:rsidRPr="003B1DEE" w:rsidRDefault="009C365D" w:rsidP="00816579">
      <w:r w:rsidRPr="003F5472">
        <w:rPr>
          <w:rFonts w:cs="Arial"/>
          <w:szCs w:val="22"/>
        </w:rPr>
        <w:t xml:space="preserve">Please note that the methodology AMS I.E., ver. 4 does not provide specific equations for calculation of Baseline emissions, project emissions or leakage, only for </w:t>
      </w:r>
      <w:r>
        <w:rPr>
          <w:rFonts w:cs="Arial"/>
          <w:szCs w:val="22"/>
        </w:rPr>
        <w:t>e</w:t>
      </w:r>
      <w:r w:rsidRPr="003F5472">
        <w:rPr>
          <w:rFonts w:cs="Arial"/>
          <w:szCs w:val="22"/>
        </w:rPr>
        <w:t xml:space="preserve">mission </w:t>
      </w:r>
      <w:r w:rsidRPr="003F5472">
        <w:rPr>
          <w:rFonts w:cs="Arial"/>
          <w:szCs w:val="22"/>
        </w:rPr>
        <w:lastRenderedPageBreak/>
        <w:t xml:space="preserve">reductions. As Leakage was considered ex-ante, </w:t>
      </w:r>
      <w:r w:rsidRPr="003F5472">
        <w:rPr>
          <w:rFonts w:cs="Arial"/>
          <w:i/>
          <w:iCs/>
          <w:szCs w:val="22"/>
        </w:rPr>
        <w:t>B</w:t>
      </w:r>
      <w:r w:rsidRPr="00660FA6">
        <w:rPr>
          <w:rFonts w:cs="Arial"/>
          <w:i/>
          <w:iCs/>
          <w:szCs w:val="22"/>
          <w:vertAlign w:val="subscript"/>
        </w:rPr>
        <w:t>y</w:t>
      </w:r>
      <w:r w:rsidRPr="003F5472">
        <w:rPr>
          <w:rFonts w:cs="Arial"/>
          <w:i/>
          <w:iCs/>
          <w:szCs w:val="22"/>
        </w:rPr>
        <w:t xml:space="preserve"> </w:t>
      </w:r>
      <w:r w:rsidRPr="003F5472">
        <w:rPr>
          <w:rFonts w:cs="Arial"/>
          <w:szCs w:val="22"/>
        </w:rPr>
        <w:t xml:space="preserve">was adjusted to account for the quantified leakage </w:t>
      </w:r>
      <w:r w:rsidRPr="0035607A">
        <w:rPr>
          <w:rFonts w:cs="Arial"/>
          <w:szCs w:val="22"/>
        </w:rPr>
        <w:t>(see also E.3.</w:t>
      </w:r>
      <w:r w:rsidRPr="003F5472">
        <w:rPr>
          <w:rFonts w:cs="Arial"/>
          <w:szCs w:val="22"/>
        </w:rPr>
        <w:t>).</w:t>
      </w:r>
    </w:p>
    <w:p w14:paraId="16785818" w14:textId="381212D6" w:rsidR="00816579" w:rsidRDefault="009C150E" w:rsidP="009C150E">
      <w:pPr>
        <w:pStyle w:val="Heading5"/>
      </w:pPr>
      <w:bookmarkStart w:id="42" w:name="_Ref315873986"/>
      <w:bookmarkStart w:id="43" w:name="_Ref418095432"/>
      <w:bookmarkStart w:id="44" w:name="_Toc40962781"/>
      <w:r>
        <w:t xml:space="preserve">E.2. </w:t>
      </w:r>
      <w:r w:rsidR="00816579" w:rsidRPr="00241108">
        <w:t xml:space="preserve">Calculation of project </w:t>
      </w:r>
      <w:bookmarkEnd w:id="42"/>
      <w:bookmarkEnd w:id="43"/>
      <w:r w:rsidR="00816579" w:rsidRPr="00241108">
        <w:t xml:space="preserve">value or estimation of project situation of each SDG </w:t>
      </w:r>
      <w:r w:rsidR="00816579">
        <w:t>Impact</w:t>
      </w:r>
      <w:bookmarkEnd w:id="44"/>
    </w:p>
    <w:p w14:paraId="2FD2B027" w14:textId="77777777" w:rsidR="009C365D" w:rsidRDefault="009C365D" w:rsidP="009C365D"/>
    <w:p w14:paraId="21D8556E" w14:textId="114CE836" w:rsidR="00816579" w:rsidRPr="003B1DEE" w:rsidRDefault="009C365D" w:rsidP="00816579">
      <w:r w:rsidRPr="003F5472">
        <w:rPr>
          <w:rFonts w:cs="Arial"/>
        </w:rPr>
        <w:t>Not applicable, as methodology AMS I.E., ver. 4 does not consider project emissions.</w:t>
      </w:r>
    </w:p>
    <w:p w14:paraId="03522618" w14:textId="1F3057B2" w:rsidR="00816579" w:rsidRPr="00B96D85" w:rsidRDefault="009C150E" w:rsidP="009C150E">
      <w:pPr>
        <w:pStyle w:val="Heading5"/>
      </w:pPr>
      <w:bookmarkStart w:id="45" w:name="_Toc40962782"/>
      <w:r>
        <w:t xml:space="preserve">E.3. </w:t>
      </w:r>
      <w:r w:rsidR="00816579" w:rsidRPr="00CA4AB2">
        <w:t>Calculation of leakage</w:t>
      </w:r>
      <w:bookmarkEnd w:id="45"/>
      <w:r w:rsidR="00816579" w:rsidRPr="00CA4AB2">
        <w:t xml:space="preserve"> </w:t>
      </w:r>
    </w:p>
    <w:p w14:paraId="4946974C" w14:textId="77777777" w:rsidR="00BD62F5" w:rsidRDefault="00BD62F5" w:rsidP="00BD62F5"/>
    <w:p w14:paraId="53F1C946" w14:textId="25EE7D38" w:rsidR="00BD62F5" w:rsidRDefault="00BD62F5" w:rsidP="00BD62F5">
      <w:r w:rsidRPr="003F5472">
        <w:rPr>
          <w:rFonts w:cs="Arial"/>
        </w:rPr>
        <w:t>As per AMS-I.E., ver. 4 par. 10, leakage has to be considered to adjust B</w:t>
      </w:r>
      <w:r w:rsidRPr="00840BB7">
        <w:rPr>
          <w:rFonts w:cs="Arial"/>
          <w:vertAlign w:val="subscript"/>
        </w:rPr>
        <w:t>y</w:t>
      </w:r>
      <w:r w:rsidRPr="003F5472">
        <w:rPr>
          <w:rFonts w:cs="Arial"/>
        </w:rPr>
        <w:t>. In line with the methodology, B</w:t>
      </w:r>
      <w:r w:rsidRPr="00840BB7">
        <w:rPr>
          <w:rFonts w:cs="Arial"/>
          <w:vertAlign w:val="subscript"/>
        </w:rPr>
        <w:t>y</w:t>
      </w:r>
      <w:r w:rsidRPr="003F5472">
        <w:rPr>
          <w:rFonts w:cs="Arial"/>
        </w:rPr>
        <w:t xml:space="preserve"> is therefore multiplied ex-ante by a net to gross adjustment factor LE</w:t>
      </w:r>
      <w:r w:rsidRPr="003F5472">
        <w:rPr>
          <w:rFonts w:cs="Arial"/>
          <w:vertAlign w:val="subscript"/>
        </w:rPr>
        <w:t>NRB</w:t>
      </w:r>
      <w:r w:rsidRPr="003F5472">
        <w:rPr>
          <w:rFonts w:cs="Arial"/>
        </w:rPr>
        <w:t xml:space="preserve"> of 0.95 to account for leakages. Therefore, leakage emissions are considered in the baseline emissions calculation and do not need to be considered during monitoring.</w:t>
      </w:r>
    </w:p>
    <w:p w14:paraId="018C24FD" w14:textId="77777777" w:rsidR="00816579" w:rsidRPr="003B1DEE" w:rsidRDefault="00816579" w:rsidP="00816579"/>
    <w:p w14:paraId="7873AF36" w14:textId="1E9EF7D6" w:rsidR="00816579" w:rsidRDefault="009C150E" w:rsidP="009C150E">
      <w:pPr>
        <w:pStyle w:val="Heading5"/>
      </w:pPr>
      <w:bookmarkStart w:id="46" w:name="_Toc40953319"/>
      <w:bookmarkStart w:id="47" w:name="_Toc40953601"/>
      <w:bookmarkStart w:id="48" w:name="_Toc40962783"/>
      <w:bookmarkStart w:id="49" w:name="_Ref315873988"/>
      <w:bookmarkStart w:id="50" w:name="_Toc40962784"/>
      <w:bookmarkEnd w:id="46"/>
      <w:bookmarkEnd w:id="47"/>
      <w:bookmarkEnd w:id="48"/>
      <w:r>
        <w:t xml:space="preserve">E.4. </w:t>
      </w:r>
      <w:r w:rsidR="00816579" w:rsidRPr="002669DA">
        <w:t xml:space="preserve">Calculation of </w:t>
      </w:r>
      <w:bookmarkEnd w:id="49"/>
      <w:r w:rsidR="00816579" w:rsidRPr="002669DA">
        <w:t>net benefits or direct calculation for each SDG Impact</w:t>
      </w:r>
      <w:bookmarkStart w:id="51" w:name="_Toc40962785"/>
      <w:bookmarkEnd w:id="50"/>
      <w:bookmarkEnd w:id="51"/>
    </w:p>
    <w:p w14:paraId="36E53897" w14:textId="77777777" w:rsidR="00D2565A" w:rsidRDefault="00D2565A" w:rsidP="00D2565A">
      <w:pPr>
        <w:pStyle w:val="Default"/>
        <w:rPr>
          <w:sz w:val="22"/>
          <w:szCs w:val="20"/>
        </w:rPr>
      </w:pPr>
    </w:p>
    <w:tbl>
      <w:tblPr>
        <w:tblStyle w:val="GSTableBoldline-heightcondensed"/>
        <w:tblW w:w="5000" w:type="pct"/>
        <w:tblLayout w:type="fixed"/>
        <w:tblCellMar>
          <w:top w:w="57" w:type="dxa"/>
          <w:left w:w="57" w:type="dxa"/>
        </w:tblCellMar>
        <w:tblLook w:val="06A0" w:firstRow="1" w:lastRow="0" w:firstColumn="1" w:lastColumn="0" w:noHBand="1" w:noVBand="1"/>
      </w:tblPr>
      <w:tblGrid>
        <w:gridCol w:w="710"/>
        <w:gridCol w:w="2836"/>
        <w:gridCol w:w="2408"/>
        <w:gridCol w:w="1844"/>
        <w:gridCol w:w="1834"/>
      </w:tblGrid>
      <w:tr w:rsidR="00DA3279" w:rsidRPr="001673A1" w14:paraId="6A93B2EA" w14:textId="77777777" w:rsidTr="00A55140">
        <w:trPr>
          <w:cnfStyle w:val="100000000000" w:firstRow="1" w:lastRow="0" w:firstColumn="0" w:lastColumn="0" w:oddVBand="0" w:evenVBand="0" w:oddHBand="0" w:evenHBand="0" w:firstRowFirstColumn="0" w:firstRowLastColumn="0" w:lastRowFirstColumn="0" w:lastRowLastColumn="0"/>
          <w:trHeight w:val="658"/>
        </w:trPr>
        <w:tc>
          <w:tcPr>
            <w:tcW w:w="369" w:type="pct"/>
            <w:vAlign w:val="top"/>
          </w:tcPr>
          <w:p w14:paraId="7BBE7382" w14:textId="77777777" w:rsidR="00DA3279" w:rsidRPr="004714F2" w:rsidDel="00B62773" w:rsidRDefault="00DA3279" w:rsidP="00944107">
            <w:pPr>
              <w:rPr>
                <w:color w:val="FFFFFF" w:themeColor="background1"/>
              </w:rPr>
            </w:pPr>
            <w:r w:rsidRPr="004714F2">
              <w:rPr>
                <w:color w:val="FFFFFF" w:themeColor="background1"/>
              </w:rPr>
              <w:t>SDG</w:t>
            </w:r>
          </w:p>
        </w:tc>
        <w:tc>
          <w:tcPr>
            <w:tcW w:w="1472" w:type="pct"/>
            <w:vAlign w:val="top"/>
          </w:tcPr>
          <w:p w14:paraId="546229ED" w14:textId="77777777" w:rsidR="00DA3279" w:rsidRPr="004714F2" w:rsidRDefault="00DA3279" w:rsidP="00944107">
            <w:pPr>
              <w:rPr>
                <w:color w:val="FFFFFF" w:themeColor="background1"/>
              </w:rPr>
            </w:pPr>
            <w:r w:rsidRPr="004714F2">
              <w:rPr>
                <w:color w:val="FFFFFF" w:themeColor="background1"/>
              </w:rPr>
              <w:t>SDG Impact</w:t>
            </w:r>
          </w:p>
        </w:tc>
        <w:tc>
          <w:tcPr>
            <w:tcW w:w="1250" w:type="pct"/>
            <w:vAlign w:val="top"/>
          </w:tcPr>
          <w:p w14:paraId="54EF51EC" w14:textId="77777777" w:rsidR="00DA3279" w:rsidRPr="004714F2" w:rsidRDefault="00DA3279" w:rsidP="00944107">
            <w:pPr>
              <w:spacing w:line="276" w:lineRule="auto"/>
              <w:rPr>
                <w:rFonts w:asciiTheme="minorHAnsi" w:hAnsiTheme="minorHAnsi"/>
                <w:color w:val="FFFFFF" w:themeColor="background1"/>
                <w:sz w:val="20"/>
              </w:rPr>
            </w:pPr>
            <w:r w:rsidRPr="004714F2">
              <w:rPr>
                <w:rFonts w:asciiTheme="minorHAnsi" w:hAnsiTheme="minorHAnsi"/>
                <w:color w:val="FFFFFF" w:themeColor="background1"/>
                <w:sz w:val="20"/>
              </w:rPr>
              <w:t xml:space="preserve">Baseline </w:t>
            </w:r>
            <w:r w:rsidRPr="004714F2">
              <w:rPr>
                <w:rFonts w:asciiTheme="minorHAnsi" w:hAnsiTheme="minorHAnsi"/>
                <w:color w:val="FFFFFF" w:themeColor="background1"/>
                <w:sz w:val="20"/>
              </w:rPr>
              <w:br/>
              <w:t>estimate</w:t>
            </w:r>
          </w:p>
        </w:tc>
        <w:tc>
          <w:tcPr>
            <w:tcW w:w="957" w:type="pct"/>
            <w:vAlign w:val="top"/>
          </w:tcPr>
          <w:p w14:paraId="7C26A8FE" w14:textId="77777777" w:rsidR="00DA3279" w:rsidRPr="004714F2" w:rsidRDefault="00DA3279" w:rsidP="00944107">
            <w:pPr>
              <w:spacing w:line="276" w:lineRule="auto"/>
              <w:rPr>
                <w:rFonts w:asciiTheme="minorHAnsi" w:hAnsiTheme="minorHAnsi"/>
                <w:color w:val="FFFFFF" w:themeColor="background1"/>
                <w:sz w:val="20"/>
              </w:rPr>
            </w:pPr>
            <w:r w:rsidRPr="004714F2">
              <w:rPr>
                <w:rFonts w:asciiTheme="minorHAnsi" w:hAnsiTheme="minorHAnsi"/>
                <w:color w:val="FFFFFF" w:themeColor="background1"/>
                <w:sz w:val="20"/>
              </w:rPr>
              <w:t xml:space="preserve">Project </w:t>
            </w:r>
            <w:r w:rsidRPr="004714F2">
              <w:rPr>
                <w:rFonts w:asciiTheme="minorHAnsi" w:hAnsiTheme="minorHAnsi"/>
                <w:color w:val="FFFFFF" w:themeColor="background1"/>
                <w:sz w:val="20"/>
              </w:rPr>
              <w:br/>
              <w:t>estimate</w:t>
            </w:r>
          </w:p>
        </w:tc>
        <w:tc>
          <w:tcPr>
            <w:tcW w:w="952" w:type="pct"/>
            <w:vAlign w:val="top"/>
          </w:tcPr>
          <w:p w14:paraId="722E0571" w14:textId="77777777" w:rsidR="00DA3279" w:rsidRPr="004714F2" w:rsidRDefault="00DA3279" w:rsidP="00944107">
            <w:pPr>
              <w:spacing w:line="276" w:lineRule="auto"/>
              <w:rPr>
                <w:rFonts w:asciiTheme="minorHAnsi" w:hAnsiTheme="minorHAnsi"/>
                <w:color w:val="FFFFFF" w:themeColor="background1"/>
                <w:sz w:val="20"/>
              </w:rPr>
            </w:pPr>
            <w:r w:rsidRPr="004714F2">
              <w:rPr>
                <w:rFonts w:asciiTheme="minorHAnsi" w:hAnsiTheme="minorHAnsi"/>
                <w:color w:val="FFFFFF" w:themeColor="background1"/>
                <w:sz w:val="20"/>
              </w:rPr>
              <w:t xml:space="preserve">Net </w:t>
            </w:r>
            <w:r w:rsidRPr="004714F2">
              <w:rPr>
                <w:rFonts w:asciiTheme="minorHAnsi" w:hAnsiTheme="minorHAnsi"/>
                <w:color w:val="FFFFFF" w:themeColor="background1"/>
                <w:sz w:val="20"/>
              </w:rPr>
              <w:br/>
              <w:t>benefit</w:t>
            </w:r>
          </w:p>
        </w:tc>
      </w:tr>
      <w:tr w:rsidR="009B599C" w:rsidRPr="001673A1" w14:paraId="3B26DF9A" w14:textId="77777777" w:rsidTr="00A55140">
        <w:trPr>
          <w:trHeight w:val="658"/>
        </w:trPr>
        <w:tc>
          <w:tcPr>
            <w:tcW w:w="369" w:type="pct"/>
            <w:vAlign w:val="top"/>
          </w:tcPr>
          <w:p w14:paraId="61178EC3" w14:textId="55DB25D1" w:rsidR="009B599C" w:rsidRPr="00A55140" w:rsidRDefault="009B599C" w:rsidP="009B599C">
            <w:pPr>
              <w:rPr>
                <w:color w:val="FFFFFF" w:themeColor="background1"/>
                <w:sz w:val="18"/>
                <w:szCs w:val="18"/>
              </w:rPr>
            </w:pPr>
            <w:r w:rsidRPr="00A55140">
              <w:rPr>
                <w:color w:val="auto"/>
                <w:sz w:val="18"/>
                <w:szCs w:val="18"/>
              </w:rPr>
              <w:t>13</w:t>
            </w:r>
          </w:p>
        </w:tc>
        <w:tc>
          <w:tcPr>
            <w:tcW w:w="1472" w:type="pct"/>
          </w:tcPr>
          <w:p w14:paraId="5FCCC513" w14:textId="0F26A1AB" w:rsidR="009B599C" w:rsidRPr="00A55140" w:rsidRDefault="009B599C" w:rsidP="009B599C">
            <w:pPr>
              <w:rPr>
                <w:color w:val="FFFFFF" w:themeColor="background1"/>
                <w:sz w:val="18"/>
                <w:szCs w:val="18"/>
              </w:rPr>
            </w:pPr>
            <w:r w:rsidRPr="002502DD">
              <w:rPr>
                <w:sz w:val="18"/>
                <w:szCs w:val="18"/>
              </w:rPr>
              <w:t xml:space="preserve">Target 13.2: Reduction of GHG emissions through the project as contribution to a low greenhouse gas emission development path of Kenya </w:t>
            </w:r>
          </w:p>
        </w:tc>
        <w:tc>
          <w:tcPr>
            <w:tcW w:w="1250" w:type="pct"/>
          </w:tcPr>
          <w:p w14:paraId="4DB15BDE" w14:textId="4B92A100" w:rsidR="009B599C" w:rsidRPr="004714F2" w:rsidRDefault="009B599C" w:rsidP="009B599C">
            <w:pPr>
              <w:spacing w:line="276" w:lineRule="auto"/>
              <w:rPr>
                <w:rFonts w:asciiTheme="minorHAnsi" w:hAnsiTheme="minorHAnsi"/>
                <w:color w:val="FFFFFF" w:themeColor="background1"/>
                <w:sz w:val="20"/>
              </w:rPr>
            </w:pPr>
            <w:r w:rsidRPr="00DB6F84">
              <w:rPr>
                <w:color w:val="515151" w:themeColor="text1"/>
                <w:sz w:val="18"/>
              </w:rPr>
              <w:t>7</w:t>
            </w:r>
            <w:r w:rsidR="00AE680F">
              <w:rPr>
                <w:color w:val="515151" w:themeColor="text1"/>
                <w:sz w:val="18"/>
              </w:rPr>
              <w:t>,419</w:t>
            </w:r>
            <w:r w:rsidRPr="00DB6F84">
              <w:rPr>
                <w:color w:val="515151" w:themeColor="text1"/>
                <w:sz w:val="18"/>
              </w:rPr>
              <w:t xml:space="preserve"> </w:t>
            </w:r>
            <w:r w:rsidRPr="00DB6F84">
              <w:rPr>
                <w:rFonts w:eastAsia="MS Mincho" w:cs="Arial"/>
                <w:color w:val="515151" w:themeColor="text1"/>
                <w:sz w:val="18"/>
                <w:szCs w:val="22"/>
              </w:rPr>
              <w:t>tCO</w:t>
            </w:r>
            <w:r w:rsidRPr="00DB6F84">
              <w:rPr>
                <w:rFonts w:eastAsia="MS Mincho" w:cs="Arial"/>
                <w:color w:val="515151" w:themeColor="text1"/>
                <w:sz w:val="18"/>
                <w:szCs w:val="22"/>
                <w:vertAlign w:val="subscript"/>
              </w:rPr>
              <w:t>2</w:t>
            </w:r>
            <w:r w:rsidRPr="00DB6F84">
              <w:rPr>
                <w:rFonts w:eastAsia="MS Mincho" w:cs="Arial"/>
                <w:color w:val="515151" w:themeColor="text1"/>
                <w:sz w:val="18"/>
                <w:szCs w:val="22"/>
              </w:rPr>
              <w:t>e</w:t>
            </w:r>
          </w:p>
        </w:tc>
        <w:tc>
          <w:tcPr>
            <w:tcW w:w="957" w:type="pct"/>
          </w:tcPr>
          <w:p w14:paraId="281E380E" w14:textId="3256C676" w:rsidR="009B599C" w:rsidRPr="004714F2" w:rsidRDefault="009B599C">
            <w:pPr>
              <w:spacing w:line="276" w:lineRule="auto"/>
              <w:rPr>
                <w:rFonts w:asciiTheme="minorHAnsi" w:hAnsiTheme="minorHAnsi"/>
                <w:color w:val="FFFFFF" w:themeColor="background1"/>
                <w:sz w:val="20"/>
              </w:rPr>
            </w:pPr>
            <w:r w:rsidRPr="00DB6F84">
              <w:rPr>
                <w:rStyle w:val="CommentReference"/>
                <w:sz w:val="18"/>
              </w:rPr>
              <w:t>N/A</w:t>
            </w:r>
          </w:p>
        </w:tc>
        <w:tc>
          <w:tcPr>
            <w:tcW w:w="952" w:type="pct"/>
          </w:tcPr>
          <w:p w14:paraId="2A5933D9" w14:textId="40D3A42A" w:rsidR="009B599C" w:rsidRPr="004714F2" w:rsidRDefault="00AE680F">
            <w:pPr>
              <w:spacing w:line="276" w:lineRule="auto"/>
              <w:rPr>
                <w:rFonts w:asciiTheme="minorHAnsi" w:hAnsiTheme="minorHAnsi"/>
                <w:color w:val="FFFFFF" w:themeColor="background1"/>
                <w:sz w:val="20"/>
              </w:rPr>
            </w:pPr>
            <w:r>
              <w:rPr>
                <w:sz w:val="18"/>
              </w:rPr>
              <w:t>7,419</w:t>
            </w:r>
            <w:r w:rsidR="009B599C" w:rsidRPr="00DB6F84">
              <w:rPr>
                <w:sz w:val="18"/>
              </w:rPr>
              <w:t xml:space="preserve"> tCO2e</w:t>
            </w:r>
          </w:p>
        </w:tc>
      </w:tr>
      <w:tr w:rsidR="009B599C" w:rsidRPr="001673A1" w14:paraId="35D70A9F" w14:textId="77777777" w:rsidTr="00A55140">
        <w:trPr>
          <w:trHeight w:val="57"/>
        </w:trPr>
        <w:tc>
          <w:tcPr>
            <w:tcW w:w="369" w:type="pct"/>
            <w:tcBorders>
              <w:bottom w:val="single" w:sz="4" w:space="0" w:color="A6A6A6" w:themeColor="background1" w:themeShade="A6"/>
            </w:tcBorders>
            <w:vAlign w:val="top"/>
          </w:tcPr>
          <w:p w14:paraId="3F43A661" w14:textId="77777777" w:rsidR="009B599C" w:rsidRPr="00A55140" w:rsidRDefault="009B599C" w:rsidP="009B599C">
            <w:pPr>
              <w:pStyle w:val="Default"/>
              <w:rPr>
                <w:color w:val="515151" w:themeColor="text1"/>
                <w:sz w:val="18"/>
                <w:szCs w:val="18"/>
              </w:rPr>
            </w:pPr>
            <w:r w:rsidRPr="00A55140">
              <w:rPr>
                <w:color w:val="515151" w:themeColor="text1"/>
                <w:sz w:val="18"/>
                <w:szCs w:val="18"/>
              </w:rPr>
              <w:t>3</w:t>
            </w:r>
          </w:p>
          <w:p w14:paraId="2152BC3E" w14:textId="77777777" w:rsidR="009B599C" w:rsidRPr="00A55140" w:rsidDel="00B62773" w:rsidRDefault="009B599C" w:rsidP="009B599C">
            <w:pPr>
              <w:rPr>
                <w:sz w:val="18"/>
                <w:szCs w:val="18"/>
              </w:rPr>
            </w:pPr>
          </w:p>
        </w:tc>
        <w:tc>
          <w:tcPr>
            <w:tcW w:w="1472" w:type="pct"/>
            <w:tcBorders>
              <w:bottom w:val="single" w:sz="4" w:space="0" w:color="A6A6A6" w:themeColor="background1" w:themeShade="A6"/>
            </w:tcBorders>
          </w:tcPr>
          <w:p w14:paraId="7E0C6AAA" w14:textId="77777777" w:rsidR="009B599C" w:rsidRPr="002502DD" w:rsidRDefault="009B599C" w:rsidP="009B599C">
            <w:pPr>
              <w:rPr>
                <w:sz w:val="18"/>
                <w:szCs w:val="18"/>
              </w:rPr>
            </w:pPr>
            <w:r w:rsidRPr="002502DD">
              <w:rPr>
                <w:sz w:val="18"/>
                <w:szCs w:val="18"/>
              </w:rPr>
              <w:t xml:space="preserve">Target 3.9: Reduction of indoor air pollution </w:t>
            </w:r>
          </w:p>
          <w:p w14:paraId="3D64FB49" w14:textId="77777777" w:rsidR="009B599C" w:rsidRPr="00AE2881" w:rsidRDefault="009B599C" w:rsidP="009B599C">
            <w:pPr>
              <w:rPr>
                <w:sz w:val="18"/>
                <w:szCs w:val="18"/>
                <w:lang w:val="en-GB"/>
              </w:rPr>
            </w:pPr>
          </w:p>
        </w:tc>
        <w:tc>
          <w:tcPr>
            <w:tcW w:w="1250" w:type="pct"/>
            <w:tcBorders>
              <w:bottom w:val="single" w:sz="4" w:space="0" w:color="A6A6A6" w:themeColor="background1" w:themeShade="A6"/>
            </w:tcBorders>
          </w:tcPr>
          <w:p w14:paraId="6608FF5A" w14:textId="77777777" w:rsidR="009B599C" w:rsidRPr="001673A1" w:rsidRDefault="009B599C" w:rsidP="009B599C">
            <w:r w:rsidRPr="00DB6F84">
              <w:rPr>
                <w:sz w:val="18"/>
              </w:rPr>
              <w:t>No usage of biogas units and therefore no reduction of harming indoor pollution.</w:t>
            </w:r>
          </w:p>
        </w:tc>
        <w:tc>
          <w:tcPr>
            <w:tcW w:w="957" w:type="pct"/>
            <w:tcBorders>
              <w:bottom w:val="single" w:sz="4" w:space="0" w:color="A6A6A6" w:themeColor="background1" w:themeShade="A6"/>
            </w:tcBorders>
          </w:tcPr>
          <w:p w14:paraId="023905C0" w14:textId="18AA3C1E" w:rsidR="009B599C" w:rsidRPr="00DB6F84" w:rsidRDefault="00C10C91" w:rsidP="00A55140">
            <w:pPr>
              <w:rPr>
                <w:sz w:val="18"/>
              </w:rPr>
            </w:pPr>
            <w:r w:rsidRPr="00362EE5">
              <w:rPr>
                <w:rFonts w:asciiTheme="minorHAnsi" w:hAnsiTheme="minorHAnsi"/>
                <w:sz w:val="20"/>
              </w:rPr>
              <w:t>91</w:t>
            </w:r>
            <w:r>
              <w:rPr>
                <w:rFonts w:asciiTheme="minorHAnsi" w:hAnsiTheme="minorHAnsi"/>
              </w:rPr>
              <w:t>%</w:t>
            </w:r>
            <w:r>
              <w:rPr>
                <w:rStyle w:val="FootnoteReference"/>
                <w:rFonts w:asciiTheme="minorHAnsi" w:hAnsiTheme="minorHAnsi"/>
              </w:rPr>
              <w:footnoteReference w:id="5"/>
            </w:r>
          </w:p>
        </w:tc>
        <w:tc>
          <w:tcPr>
            <w:tcW w:w="952" w:type="pct"/>
            <w:tcBorders>
              <w:bottom w:val="single" w:sz="4" w:space="0" w:color="A6A6A6" w:themeColor="background1" w:themeShade="A6"/>
            </w:tcBorders>
          </w:tcPr>
          <w:p w14:paraId="609E595C" w14:textId="730E7418" w:rsidR="009B599C" w:rsidRPr="00DB6F84" w:rsidRDefault="00C10C91" w:rsidP="00A55140">
            <w:pPr>
              <w:rPr>
                <w:sz w:val="18"/>
              </w:rPr>
            </w:pPr>
            <w:r>
              <w:rPr>
                <w:sz w:val="18"/>
              </w:rPr>
              <w:t>91</w:t>
            </w:r>
            <w:r w:rsidR="009B599C" w:rsidRPr="00DB6F84">
              <w:rPr>
                <w:sz w:val="18"/>
              </w:rPr>
              <w:t>%</w:t>
            </w:r>
          </w:p>
        </w:tc>
      </w:tr>
      <w:tr w:rsidR="009B599C" w:rsidRPr="001673A1" w14:paraId="55D88F5F" w14:textId="77777777" w:rsidTr="00A55140">
        <w:trPr>
          <w:trHeight w:val="494"/>
        </w:trPr>
        <w:tc>
          <w:tcPr>
            <w:tcW w:w="369" w:type="pct"/>
            <w:tcBorders>
              <w:top w:val="single" w:sz="4" w:space="0" w:color="A6A6A6" w:themeColor="background1" w:themeShade="A6"/>
              <w:bottom w:val="single" w:sz="4" w:space="0" w:color="A6A6A6" w:themeColor="background1" w:themeShade="A6"/>
            </w:tcBorders>
            <w:vAlign w:val="top"/>
          </w:tcPr>
          <w:p w14:paraId="15BF4B55" w14:textId="77777777" w:rsidR="009B599C" w:rsidRPr="00A55140" w:rsidRDefault="009B599C" w:rsidP="009B599C">
            <w:pPr>
              <w:pStyle w:val="Default"/>
              <w:rPr>
                <w:color w:val="515151" w:themeColor="text1"/>
                <w:sz w:val="18"/>
                <w:szCs w:val="18"/>
              </w:rPr>
            </w:pPr>
            <w:r w:rsidRPr="00A55140">
              <w:rPr>
                <w:color w:val="515151" w:themeColor="text1"/>
                <w:sz w:val="18"/>
                <w:szCs w:val="18"/>
              </w:rPr>
              <w:t>7</w:t>
            </w:r>
          </w:p>
          <w:p w14:paraId="66B9BFFD" w14:textId="77777777" w:rsidR="009B599C" w:rsidRPr="00A55140" w:rsidDel="00B62773" w:rsidRDefault="009B599C" w:rsidP="009B599C">
            <w:pPr>
              <w:rPr>
                <w:sz w:val="18"/>
                <w:szCs w:val="18"/>
              </w:rPr>
            </w:pPr>
          </w:p>
        </w:tc>
        <w:tc>
          <w:tcPr>
            <w:tcW w:w="1472" w:type="pct"/>
            <w:tcBorders>
              <w:top w:val="single" w:sz="4" w:space="0" w:color="A6A6A6" w:themeColor="background1" w:themeShade="A6"/>
              <w:bottom w:val="single" w:sz="4" w:space="0" w:color="A6A6A6" w:themeColor="background1" w:themeShade="A6"/>
            </w:tcBorders>
          </w:tcPr>
          <w:p w14:paraId="7F072B04" w14:textId="77777777" w:rsidR="009B599C" w:rsidRPr="00401533" w:rsidRDefault="009B599C" w:rsidP="009B599C">
            <w:pPr>
              <w:rPr>
                <w:rFonts w:ascii="Avenir Book" w:hAnsi="Avenir Book"/>
                <w:b/>
                <w:sz w:val="18"/>
                <w:szCs w:val="18"/>
              </w:rPr>
            </w:pPr>
            <w:r w:rsidRPr="002502DD">
              <w:rPr>
                <w:color w:val="515151" w:themeColor="text1"/>
                <w:sz w:val="18"/>
                <w:szCs w:val="18"/>
              </w:rPr>
              <w:t>Target 7.1: Availability of affordable and clean energy for d</w:t>
            </w:r>
            <w:r w:rsidRPr="00AE2881">
              <w:rPr>
                <w:color w:val="515151" w:themeColor="text1"/>
                <w:sz w:val="18"/>
                <w:szCs w:val="18"/>
              </w:rPr>
              <w:t>airy farmers due to an innovative and cost effective technology</w:t>
            </w:r>
          </w:p>
        </w:tc>
        <w:tc>
          <w:tcPr>
            <w:tcW w:w="1250" w:type="pct"/>
            <w:tcBorders>
              <w:top w:val="single" w:sz="4" w:space="0" w:color="A6A6A6" w:themeColor="background1" w:themeShade="A6"/>
              <w:bottom w:val="single" w:sz="4" w:space="0" w:color="A6A6A6" w:themeColor="background1" w:themeShade="A6"/>
            </w:tcBorders>
          </w:tcPr>
          <w:p w14:paraId="510A3E0D" w14:textId="77777777" w:rsidR="009B599C" w:rsidRPr="00F418F6" w:rsidRDefault="009B599C" w:rsidP="009B599C">
            <w:pPr>
              <w:rPr>
                <w:sz w:val="20"/>
              </w:rPr>
            </w:pPr>
            <w:r w:rsidRPr="00B4095E">
              <w:rPr>
                <w:sz w:val="18"/>
              </w:rPr>
              <w:t>Targeted households do not use clean energy so far; they are using firewood, kerosene and LPG for cooking.</w:t>
            </w:r>
          </w:p>
        </w:tc>
        <w:tc>
          <w:tcPr>
            <w:tcW w:w="957" w:type="pct"/>
            <w:tcBorders>
              <w:top w:val="single" w:sz="4" w:space="0" w:color="A6A6A6" w:themeColor="background1" w:themeShade="A6"/>
              <w:bottom w:val="single" w:sz="4" w:space="0" w:color="A6A6A6" w:themeColor="background1" w:themeShade="A6"/>
            </w:tcBorders>
          </w:tcPr>
          <w:p w14:paraId="10FB4D78" w14:textId="6626C966" w:rsidR="009B599C" w:rsidRPr="00DB6F84" w:rsidRDefault="009B599C" w:rsidP="00A55140">
            <w:pPr>
              <w:rPr>
                <w:sz w:val="18"/>
              </w:rPr>
            </w:pPr>
            <w:r w:rsidRPr="00DB6F84">
              <w:rPr>
                <w:sz w:val="18"/>
              </w:rPr>
              <w:t>2</w:t>
            </w:r>
            <w:r w:rsidR="00537FFA">
              <w:rPr>
                <w:sz w:val="18"/>
              </w:rPr>
              <w:t>.641</w:t>
            </w:r>
            <w:r w:rsidRPr="00DB6F84">
              <w:rPr>
                <w:sz w:val="18"/>
              </w:rPr>
              <w:t xml:space="preserve"> MW </w:t>
            </w:r>
          </w:p>
        </w:tc>
        <w:tc>
          <w:tcPr>
            <w:tcW w:w="952" w:type="pct"/>
            <w:tcBorders>
              <w:top w:val="single" w:sz="4" w:space="0" w:color="A6A6A6" w:themeColor="background1" w:themeShade="A6"/>
              <w:bottom w:val="single" w:sz="4" w:space="0" w:color="A6A6A6" w:themeColor="background1" w:themeShade="A6"/>
            </w:tcBorders>
          </w:tcPr>
          <w:p w14:paraId="13D7B8C8" w14:textId="6E4BF982" w:rsidR="009B599C" w:rsidRPr="00DB6F84" w:rsidRDefault="00537FFA" w:rsidP="00A55140">
            <w:pPr>
              <w:rPr>
                <w:sz w:val="18"/>
              </w:rPr>
            </w:pPr>
            <w:r>
              <w:rPr>
                <w:sz w:val="18"/>
              </w:rPr>
              <w:t>2.641</w:t>
            </w:r>
            <w:r w:rsidR="009B599C" w:rsidRPr="00DB6F84">
              <w:rPr>
                <w:sz w:val="18"/>
              </w:rPr>
              <w:t xml:space="preserve"> MW</w:t>
            </w:r>
          </w:p>
        </w:tc>
      </w:tr>
      <w:tr w:rsidR="009B599C" w:rsidRPr="001673A1" w14:paraId="1A87218A" w14:textId="77777777" w:rsidTr="00A55140">
        <w:trPr>
          <w:trHeight w:val="494"/>
        </w:trPr>
        <w:tc>
          <w:tcPr>
            <w:tcW w:w="369" w:type="pct"/>
            <w:tcBorders>
              <w:top w:val="single" w:sz="4" w:space="0" w:color="A6A6A6" w:themeColor="background1" w:themeShade="A6"/>
              <w:bottom w:val="single" w:sz="4" w:space="0" w:color="A6A6A6" w:themeColor="background1" w:themeShade="A6"/>
            </w:tcBorders>
            <w:vAlign w:val="top"/>
          </w:tcPr>
          <w:p w14:paraId="70010A9F" w14:textId="77777777" w:rsidR="009B599C" w:rsidRPr="00A55140" w:rsidRDefault="009B599C" w:rsidP="009B599C">
            <w:pPr>
              <w:pStyle w:val="Default"/>
              <w:rPr>
                <w:sz w:val="18"/>
                <w:szCs w:val="18"/>
              </w:rPr>
            </w:pPr>
            <w:r w:rsidRPr="00A55140">
              <w:rPr>
                <w:color w:val="515151" w:themeColor="text1"/>
                <w:sz w:val="18"/>
                <w:szCs w:val="18"/>
              </w:rPr>
              <w:lastRenderedPageBreak/>
              <w:t>8</w:t>
            </w:r>
          </w:p>
          <w:p w14:paraId="7301712A" w14:textId="77777777" w:rsidR="009B599C" w:rsidRPr="00A55140" w:rsidRDefault="009B599C" w:rsidP="009B599C">
            <w:pPr>
              <w:rPr>
                <w:sz w:val="18"/>
                <w:szCs w:val="18"/>
              </w:rPr>
            </w:pPr>
          </w:p>
        </w:tc>
        <w:tc>
          <w:tcPr>
            <w:tcW w:w="1472" w:type="pct"/>
            <w:tcBorders>
              <w:top w:val="single" w:sz="4" w:space="0" w:color="A6A6A6" w:themeColor="background1" w:themeShade="A6"/>
              <w:bottom w:val="single" w:sz="4" w:space="0" w:color="A6A6A6" w:themeColor="background1" w:themeShade="A6"/>
            </w:tcBorders>
          </w:tcPr>
          <w:p w14:paraId="195F5EC2" w14:textId="77777777" w:rsidR="009B599C" w:rsidRPr="00AE2881" w:rsidRDefault="009B599C" w:rsidP="009B599C">
            <w:pPr>
              <w:rPr>
                <w:sz w:val="18"/>
                <w:szCs w:val="18"/>
              </w:rPr>
            </w:pPr>
            <w:r w:rsidRPr="002502DD">
              <w:rPr>
                <w:sz w:val="18"/>
                <w:szCs w:val="18"/>
              </w:rPr>
              <w:t>Target 8.5: Increased employment rates and income generation o</w:t>
            </w:r>
            <w:r w:rsidRPr="00AE2881">
              <w:rPr>
                <w:sz w:val="18"/>
                <w:szCs w:val="18"/>
              </w:rPr>
              <w:t>f masons, supervisors and unskilled labor</w:t>
            </w:r>
          </w:p>
        </w:tc>
        <w:tc>
          <w:tcPr>
            <w:tcW w:w="1250" w:type="pct"/>
            <w:tcBorders>
              <w:top w:val="single" w:sz="4" w:space="0" w:color="A6A6A6" w:themeColor="background1" w:themeShade="A6"/>
              <w:bottom w:val="single" w:sz="4" w:space="0" w:color="A6A6A6" w:themeColor="background1" w:themeShade="A6"/>
            </w:tcBorders>
          </w:tcPr>
          <w:p w14:paraId="7AC2EDBF" w14:textId="77777777" w:rsidR="009B599C" w:rsidRPr="00911873" w:rsidRDefault="009B599C" w:rsidP="009B599C">
            <w:pPr>
              <w:rPr>
                <w:sz w:val="18"/>
                <w:szCs w:val="18"/>
              </w:rPr>
            </w:pPr>
            <w:r w:rsidRPr="00911873">
              <w:rPr>
                <w:sz w:val="18"/>
                <w:szCs w:val="18"/>
              </w:rPr>
              <w:t>No project activity and therefore no training for masons regarding the construction of biogas units.</w:t>
            </w:r>
          </w:p>
        </w:tc>
        <w:tc>
          <w:tcPr>
            <w:tcW w:w="957" w:type="pct"/>
            <w:tcBorders>
              <w:top w:val="single" w:sz="4" w:space="0" w:color="A6A6A6" w:themeColor="background1" w:themeShade="A6"/>
              <w:bottom w:val="single" w:sz="4" w:space="0" w:color="A6A6A6" w:themeColor="background1" w:themeShade="A6"/>
            </w:tcBorders>
          </w:tcPr>
          <w:p w14:paraId="49577199" w14:textId="77777777" w:rsidR="00301BEC" w:rsidRPr="00911873" w:rsidRDefault="00301BEC" w:rsidP="00301BEC">
            <w:pPr>
              <w:rPr>
                <w:rStyle w:val="CommentReference"/>
                <w:sz w:val="18"/>
                <w:szCs w:val="18"/>
              </w:rPr>
            </w:pPr>
            <w:r w:rsidRPr="00911873">
              <w:rPr>
                <w:rStyle w:val="CommentReference"/>
                <w:sz w:val="18"/>
                <w:szCs w:val="18"/>
              </w:rPr>
              <w:t>7 handyman became masons during MP</w:t>
            </w:r>
          </w:p>
          <w:p w14:paraId="46B8E0FA" w14:textId="258B9891" w:rsidR="009B599C" w:rsidRPr="00911873" w:rsidRDefault="00251389" w:rsidP="009B599C">
            <w:pPr>
              <w:rPr>
                <w:rStyle w:val="CommentReference"/>
                <w:sz w:val="18"/>
                <w:szCs w:val="18"/>
              </w:rPr>
            </w:pPr>
            <w:r w:rsidRPr="00911873">
              <w:rPr>
                <w:rFonts w:asciiTheme="minorHAnsi" w:hAnsiTheme="minorHAnsi"/>
                <w:sz w:val="18"/>
                <w:szCs w:val="18"/>
              </w:rPr>
              <w:t>40</w:t>
            </w:r>
            <w:r w:rsidR="009B599C" w:rsidRPr="00911873">
              <w:rPr>
                <w:rStyle w:val="CommentReference"/>
                <w:sz w:val="18"/>
                <w:szCs w:val="18"/>
              </w:rPr>
              <w:t xml:space="preserve"> </w:t>
            </w:r>
            <w:r w:rsidR="00EE78C6" w:rsidRPr="00911873">
              <w:rPr>
                <w:rStyle w:val="CommentReference"/>
                <w:sz w:val="18"/>
                <w:szCs w:val="18"/>
              </w:rPr>
              <w:t>p</w:t>
            </w:r>
            <w:r w:rsidR="009B599C" w:rsidRPr="00911873">
              <w:rPr>
                <w:rStyle w:val="CommentReference"/>
                <w:sz w:val="18"/>
                <w:szCs w:val="18"/>
              </w:rPr>
              <w:t>eople working for SES</w:t>
            </w:r>
            <w:r w:rsidR="00EE78C6" w:rsidRPr="00911873">
              <w:rPr>
                <w:rStyle w:val="CommentReference"/>
                <w:sz w:val="18"/>
                <w:szCs w:val="18"/>
              </w:rPr>
              <w:t xml:space="preserve"> during MP</w:t>
            </w:r>
          </w:p>
        </w:tc>
        <w:tc>
          <w:tcPr>
            <w:tcW w:w="952" w:type="pct"/>
            <w:tcBorders>
              <w:top w:val="single" w:sz="4" w:space="0" w:color="A6A6A6" w:themeColor="background1" w:themeShade="A6"/>
              <w:bottom w:val="single" w:sz="4" w:space="0" w:color="A6A6A6" w:themeColor="background1" w:themeShade="A6"/>
            </w:tcBorders>
          </w:tcPr>
          <w:p w14:paraId="3607E1EC" w14:textId="77777777" w:rsidR="00301BEC" w:rsidRPr="00911873" w:rsidRDefault="00301BEC" w:rsidP="009B599C">
            <w:pPr>
              <w:rPr>
                <w:rStyle w:val="CommentReference"/>
                <w:sz w:val="18"/>
                <w:szCs w:val="18"/>
              </w:rPr>
            </w:pPr>
            <w:r w:rsidRPr="00911873">
              <w:rPr>
                <w:rStyle w:val="CommentReference"/>
                <w:sz w:val="18"/>
                <w:szCs w:val="18"/>
              </w:rPr>
              <w:t>7 handyman became masons during MP</w:t>
            </w:r>
          </w:p>
          <w:p w14:paraId="3D9BBBF9" w14:textId="0F3D197F" w:rsidR="009B599C" w:rsidRPr="00911873" w:rsidRDefault="00251389" w:rsidP="009B599C">
            <w:pPr>
              <w:rPr>
                <w:rFonts w:ascii="Avenir Book" w:hAnsi="Avenir Book"/>
                <w:b/>
                <w:sz w:val="18"/>
                <w:szCs w:val="18"/>
              </w:rPr>
            </w:pPr>
            <w:r w:rsidRPr="00911873">
              <w:rPr>
                <w:rFonts w:asciiTheme="minorHAnsi" w:hAnsiTheme="minorHAnsi"/>
                <w:sz w:val="18"/>
                <w:szCs w:val="18"/>
              </w:rPr>
              <w:t>40</w:t>
            </w:r>
            <w:r w:rsidR="00EE78C6" w:rsidRPr="00911873">
              <w:rPr>
                <w:rStyle w:val="CommentReference"/>
                <w:sz w:val="18"/>
                <w:szCs w:val="18"/>
              </w:rPr>
              <w:t xml:space="preserve"> people working during MP</w:t>
            </w:r>
          </w:p>
        </w:tc>
      </w:tr>
      <w:tr w:rsidR="009B599C" w:rsidRPr="001673A1" w14:paraId="00966997" w14:textId="77777777" w:rsidTr="00A55140">
        <w:trPr>
          <w:trHeight w:val="494"/>
        </w:trPr>
        <w:tc>
          <w:tcPr>
            <w:tcW w:w="369" w:type="pct"/>
            <w:tcBorders>
              <w:top w:val="single" w:sz="4" w:space="0" w:color="A6A6A6" w:themeColor="background1" w:themeShade="A6"/>
              <w:bottom w:val="single" w:sz="4" w:space="0" w:color="A6A6A6" w:themeColor="background1" w:themeShade="A6"/>
            </w:tcBorders>
            <w:vAlign w:val="top"/>
          </w:tcPr>
          <w:p w14:paraId="4A90022E" w14:textId="77777777" w:rsidR="009B599C" w:rsidRPr="00A55140" w:rsidRDefault="009B599C" w:rsidP="009B599C">
            <w:pPr>
              <w:pStyle w:val="Default"/>
              <w:rPr>
                <w:sz w:val="18"/>
                <w:szCs w:val="18"/>
              </w:rPr>
            </w:pPr>
            <w:r w:rsidRPr="00A55140">
              <w:rPr>
                <w:color w:val="515151" w:themeColor="text1"/>
                <w:sz w:val="18"/>
                <w:szCs w:val="18"/>
              </w:rPr>
              <w:t>17</w:t>
            </w:r>
          </w:p>
        </w:tc>
        <w:tc>
          <w:tcPr>
            <w:tcW w:w="1472" w:type="pct"/>
            <w:tcBorders>
              <w:top w:val="single" w:sz="4" w:space="0" w:color="A6A6A6" w:themeColor="background1" w:themeShade="A6"/>
              <w:bottom w:val="single" w:sz="4" w:space="0" w:color="A6A6A6" w:themeColor="background1" w:themeShade="A6"/>
            </w:tcBorders>
          </w:tcPr>
          <w:p w14:paraId="11B08AFC" w14:textId="77777777" w:rsidR="009B599C" w:rsidRPr="002502DD" w:rsidRDefault="009B599C" w:rsidP="009B599C">
            <w:pPr>
              <w:rPr>
                <w:sz w:val="18"/>
                <w:szCs w:val="18"/>
              </w:rPr>
            </w:pPr>
            <w:r w:rsidRPr="002502DD">
              <w:rPr>
                <w:sz w:val="18"/>
                <w:szCs w:val="18"/>
              </w:rPr>
              <w:t>Target 17.7: Transfer of an innovative and clean energy technology</w:t>
            </w:r>
          </w:p>
        </w:tc>
        <w:tc>
          <w:tcPr>
            <w:tcW w:w="1250" w:type="pct"/>
            <w:tcBorders>
              <w:top w:val="single" w:sz="4" w:space="0" w:color="A6A6A6" w:themeColor="background1" w:themeShade="A6"/>
              <w:bottom w:val="single" w:sz="4" w:space="0" w:color="A6A6A6" w:themeColor="background1" w:themeShade="A6"/>
            </w:tcBorders>
          </w:tcPr>
          <w:p w14:paraId="59D7D603" w14:textId="77777777" w:rsidR="009B599C" w:rsidRPr="00911873" w:rsidRDefault="009B599C" w:rsidP="009B599C">
            <w:pPr>
              <w:rPr>
                <w:rFonts w:asciiTheme="minorHAnsi" w:hAnsiTheme="minorHAnsi"/>
                <w:sz w:val="18"/>
                <w:szCs w:val="18"/>
              </w:rPr>
            </w:pPr>
            <w:r w:rsidRPr="00911873">
              <w:rPr>
                <w:rFonts w:asciiTheme="minorHAnsi" w:hAnsiTheme="minorHAnsi"/>
                <w:sz w:val="18"/>
                <w:szCs w:val="18"/>
              </w:rPr>
              <w:t>No usage of biogas units.</w:t>
            </w:r>
          </w:p>
          <w:p w14:paraId="3CD0AB15" w14:textId="0EB1E62C" w:rsidR="00EE78C6" w:rsidRPr="00911873" w:rsidRDefault="00EE78C6" w:rsidP="009B599C">
            <w:pPr>
              <w:rPr>
                <w:rFonts w:asciiTheme="minorHAnsi" w:hAnsiTheme="minorHAnsi"/>
                <w:sz w:val="18"/>
                <w:szCs w:val="18"/>
              </w:rPr>
            </w:pPr>
          </w:p>
        </w:tc>
        <w:tc>
          <w:tcPr>
            <w:tcW w:w="957" w:type="pct"/>
            <w:tcBorders>
              <w:top w:val="single" w:sz="4" w:space="0" w:color="A6A6A6" w:themeColor="background1" w:themeShade="A6"/>
              <w:bottom w:val="single" w:sz="4" w:space="0" w:color="A6A6A6" w:themeColor="background1" w:themeShade="A6"/>
            </w:tcBorders>
          </w:tcPr>
          <w:p w14:paraId="55C243D7" w14:textId="4E1432F4" w:rsidR="009B599C" w:rsidRPr="00911873" w:rsidRDefault="00537FFA" w:rsidP="009B599C">
            <w:pPr>
              <w:rPr>
                <w:rStyle w:val="CommentReference"/>
                <w:sz w:val="18"/>
                <w:szCs w:val="18"/>
              </w:rPr>
            </w:pPr>
            <w:r>
              <w:rPr>
                <w:rStyle w:val="CommentReference"/>
                <w:sz w:val="18"/>
                <w:szCs w:val="18"/>
              </w:rPr>
              <w:t>796</w:t>
            </w:r>
            <w:r w:rsidR="009B599C" w:rsidRPr="00911873">
              <w:rPr>
                <w:rStyle w:val="CommentReference"/>
                <w:sz w:val="18"/>
                <w:szCs w:val="18"/>
              </w:rPr>
              <w:t xml:space="preserve"> biogas units in use under the project.</w:t>
            </w:r>
          </w:p>
          <w:p w14:paraId="2C400DAF" w14:textId="27F24812" w:rsidR="00EE78C6" w:rsidRPr="00911873" w:rsidRDefault="00251389" w:rsidP="00301BEC">
            <w:pPr>
              <w:rPr>
                <w:rStyle w:val="CommentReference"/>
                <w:sz w:val="18"/>
                <w:szCs w:val="18"/>
              </w:rPr>
            </w:pPr>
            <w:r w:rsidRPr="00911873">
              <w:rPr>
                <w:rFonts w:asciiTheme="minorHAnsi" w:hAnsiTheme="minorHAnsi"/>
                <w:sz w:val="18"/>
                <w:szCs w:val="18"/>
              </w:rPr>
              <w:t>40</w:t>
            </w:r>
            <w:r w:rsidR="00EE78C6" w:rsidRPr="00911873">
              <w:rPr>
                <w:rStyle w:val="CommentReference"/>
                <w:sz w:val="18"/>
                <w:szCs w:val="18"/>
              </w:rPr>
              <w:t xml:space="preserve"> people working for SES during MP</w:t>
            </w:r>
          </w:p>
        </w:tc>
        <w:tc>
          <w:tcPr>
            <w:tcW w:w="952" w:type="pct"/>
            <w:tcBorders>
              <w:top w:val="single" w:sz="4" w:space="0" w:color="A6A6A6" w:themeColor="background1" w:themeShade="A6"/>
              <w:bottom w:val="single" w:sz="4" w:space="0" w:color="A6A6A6" w:themeColor="background1" w:themeShade="A6"/>
            </w:tcBorders>
          </w:tcPr>
          <w:p w14:paraId="3106A697" w14:textId="3B31DE90" w:rsidR="009B599C" w:rsidRPr="00911873" w:rsidRDefault="009B599C" w:rsidP="009B599C">
            <w:pPr>
              <w:jc w:val="center"/>
              <w:rPr>
                <w:rFonts w:asciiTheme="minorHAnsi" w:hAnsiTheme="minorHAnsi"/>
                <w:sz w:val="18"/>
              </w:rPr>
            </w:pPr>
            <w:r w:rsidRPr="00911873">
              <w:rPr>
                <w:rFonts w:asciiTheme="minorHAnsi" w:hAnsiTheme="minorHAnsi"/>
                <w:sz w:val="18"/>
              </w:rPr>
              <w:t>7</w:t>
            </w:r>
            <w:r w:rsidR="00537FFA">
              <w:rPr>
                <w:rFonts w:asciiTheme="minorHAnsi" w:hAnsiTheme="minorHAnsi"/>
                <w:sz w:val="18"/>
              </w:rPr>
              <w:t>96</w:t>
            </w:r>
            <w:r w:rsidRPr="00911873">
              <w:rPr>
                <w:rFonts w:asciiTheme="minorHAnsi" w:hAnsiTheme="minorHAnsi"/>
                <w:sz w:val="18"/>
              </w:rPr>
              <w:t xml:space="preserve"> biogas units</w:t>
            </w:r>
          </w:p>
          <w:p w14:paraId="3059D03C" w14:textId="095B960E" w:rsidR="00EE78C6" w:rsidRPr="00911873" w:rsidRDefault="00EE78C6">
            <w:pPr>
              <w:jc w:val="center"/>
              <w:rPr>
                <w:rFonts w:asciiTheme="minorHAnsi" w:hAnsiTheme="minorHAnsi"/>
                <w:sz w:val="20"/>
              </w:rPr>
            </w:pPr>
            <w:r w:rsidRPr="00911873">
              <w:rPr>
                <w:rFonts w:asciiTheme="minorHAnsi" w:hAnsiTheme="minorHAnsi"/>
                <w:sz w:val="18"/>
                <w:szCs w:val="18"/>
              </w:rPr>
              <w:t xml:space="preserve">Decent work for </w:t>
            </w:r>
            <w:r w:rsidR="00251389" w:rsidRPr="00911873">
              <w:rPr>
                <w:rFonts w:asciiTheme="minorHAnsi" w:hAnsiTheme="minorHAnsi"/>
                <w:sz w:val="18"/>
                <w:szCs w:val="18"/>
              </w:rPr>
              <w:t>40</w:t>
            </w:r>
            <w:r w:rsidRPr="00911873">
              <w:rPr>
                <w:rStyle w:val="CommentReference"/>
                <w:sz w:val="18"/>
                <w:szCs w:val="18"/>
              </w:rPr>
              <w:t xml:space="preserve"> people</w:t>
            </w:r>
          </w:p>
        </w:tc>
      </w:tr>
    </w:tbl>
    <w:p w14:paraId="550382D3" w14:textId="77777777" w:rsidR="00DA3279" w:rsidRDefault="00DA3279" w:rsidP="00D2565A">
      <w:pPr>
        <w:pStyle w:val="Default"/>
        <w:rPr>
          <w:color w:val="515151" w:themeColor="text1"/>
          <w:sz w:val="22"/>
          <w:szCs w:val="20"/>
          <w:lang w:val="en-US"/>
        </w:rPr>
      </w:pPr>
    </w:p>
    <w:p w14:paraId="244B842B" w14:textId="2FD3342D" w:rsidR="00DA3279" w:rsidRPr="00A55140" w:rsidRDefault="00DA3279" w:rsidP="00A55140">
      <w:pPr>
        <w:pStyle w:val="Caption"/>
        <w:rPr>
          <w:b/>
          <w:color w:val="515151" w:themeColor="text1"/>
          <w:sz w:val="22"/>
        </w:rPr>
      </w:pPr>
      <w:r w:rsidRPr="00A55140">
        <w:rPr>
          <w:b/>
          <w:color w:val="515151" w:themeColor="text1"/>
          <w:sz w:val="22"/>
        </w:rPr>
        <w:t>SDG 3, Target 3.9: Reduction of indoor air pollution</w:t>
      </w:r>
    </w:p>
    <w:p w14:paraId="548576B7" w14:textId="40523EF0" w:rsidR="00DA3279" w:rsidRDefault="00DA3279" w:rsidP="00DA3279">
      <w:pPr>
        <w:pStyle w:val="Default"/>
        <w:rPr>
          <w:b/>
          <w:color w:val="515151" w:themeColor="text1"/>
          <w:sz w:val="22"/>
          <w:szCs w:val="20"/>
          <w:lang w:val="en-US"/>
        </w:rPr>
      </w:pPr>
    </w:p>
    <w:p w14:paraId="6167FCB3" w14:textId="148282E0" w:rsidR="000D2FDC" w:rsidRPr="00A55140" w:rsidRDefault="00DA3279" w:rsidP="00A55140">
      <w:r w:rsidRPr="00DA3279">
        <w:t>Air quality improvement from usage of smokeless biogas</w:t>
      </w:r>
      <w:r>
        <w:t xml:space="preserve"> was monitored once in the fourth</w:t>
      </w:r>
      <w:r w:rsidRPr="00DA3279">
        <w:t xml:space="preserve"> monitoring period by interviewing user sample groups during the monitoring survey.</w:t>
      </w:r>
      <w:r>
        <w:t xml:space="preserve"> </w:t>
      </w:r>
    </w:p>
    <w:p w14:paraId="14EDA9CE" w14:textId="2BC2F289" w:rsidR="00DA3279" w:rsidRPr="00A55140" w:rsidRDefault="000D2FDC" w:rsidP="000D2FDC">
      <w:pPr>
        <w:pStyle w:val="Default"/>
        <w:rPr>
          <w:b/>
          <w:color w:val="515151" w:themeColor="text1"/>
          <w:sz w:val="20"/>
          <w:szCs w:val="20"/>
          <w:lang w:val="en-US"/>
        </w:rPr>
      </w:pPr>
      <w:r w:rsidRPr="00A55140">
        <w:rPr>
          <w:b/>
          <w:color w:val="515151" w:themeColor="text1"/>
          <w:sz w:val="20"/>
          <w:szCs w:val="20"/>
          <w:lang w:val="en-US"/>
        </w:rPr>
        <w:t>Monitoring Period 4 (31/12/2018 – 30/12/2020):</w:t>
      </w:r>
    </w:p>
    <w:p w14:paraId="70DF496F" w14:textId="77777777" w:rsidR="00D10402" w:rsidRPr="00A55140" w:rsidRDefault="00D10402" w:rsidP="000D2FDC">
      <w:pPr>
        <w:pStyle w:val="Default"/>
        <w:rPr>
          <w:b/>
          <w:color w:val="515151" w:themeColor="text1"/>
          <w:sz w:val="22"/>
          <w:szCs w:val="20"/>
          <w:lang w:val="en-US"/>
        </w:rPr>
      </w:pPr>
    </w:p>
    <w:p w14:paraId="1B64285E" w14:textId="17A27189" w:rsidR="00DA3279" w:rsidRPr="00A55140" w:rsidRDefault="00DA3279" w:rsidP="00A55140">
      <w:r w:rsidRPr="00A55140">
        <w:t>During the survey, the following questions were asked to biogas users:</w:t>
      </w:r>
    </w:p>
    <w:p w14:paraId="6C6D5093" w14:textId="77777777" w:rsidR="00DA3279" w:rsidRPr="00A55140" w:rsidRDefault="00DA3279" w:rsidP="00A55140">
      <w:r w:rsidRPr="00A55140">
        <w:t>How has the air quality in your kitchen changed since you use the biogas unit?</w:t>
      </w:r>
    </w:p>
    <w:p w14:paraId="38B8FA9C" w14:textId="77777777" w:rsidR="00DA3279" w:rsidRPr="00A55140" w:rsidRDefault="00DA3279" w:rsidP="00A55140">
      <w:r w:rsidRPr="00A55140">
        <w:t>and</w:t>
      </w:r>
    </w:p>
    <w:p w14:paraId="2B72F908" w14:textId="77777777" w:rsidR="00DA3279" w:rsidRPr="00A55140" w:rsidRDefault="00DA3279" w:rsidP="00A55140">
      <w:r w:rsidRPr="00A55140">
        <w:t>In case of respiratory problems, do you perceive any improvements of your respiratory problems as a result of cooking with clean biogas?</w:t>
      </w:r>
    </w:p>
    <w:p w14:paraId="74C870E2" w14:textId="77777777" w:rsidR="00DA3279" w:rsidRPr="00A55140" w:rsidRDefault="00DA3279" w:rsidP="00A55140">
      <w:r w:rsidRPr="00A55140">
        <w:t>Users answered as followed:</w:t>
      </w:r>
    </w:p>
    <w:p w14:paraId="489F8B28" w14:textId="025B99EE" w:rsidR="00DA3279" w:rsidRPr="00A55140" w:rsidRDefault="00992620" w:rsidP="00A55140">
      <w:r>
        <w:t xml:space="preserve">1) </w:t>
      </w:r>
      <w:r w:rsidR="00EA6A5B" w:rsidRPr="00362EE5">
        <w:rPr>
          <w:rFonts w:asciiTheme="minorHAnsi" w:hAnsiTheme="minorHAnsi"/>
          <w:sz w:val="20"/>
        </w:rPr>
        <w:t>91</w:t>
      </w:r>
      <w:r w:rsidR="00EA6A5B">
        <w:rPr>
          <w:rFonts w:asciiTheme="minorHAnsi" w:hAnsiTheme="minorHAnsi"/>
        </w:rPr>
        <w:t>%</w:t>
      </w:r>
      <w:r w:rsidR="00EA6A5B">
        <w:rPr>
          <w:rStyle w:val="FootnoteReference"/>
          <w:rFonts w:asciiTheme="minorHAnsi" w:hAnsiTheme="minorHAnsi"/>
        </w:rPr>
        <w:footnoteReference w:id="6"/>
      </w:r>
      <w:r w:rsidR="00EA6A5B">
        <w:rPr>
          <w:rFonts w:asciiTheme="minorHAnsi" w:hAnsiTheme="minorHAnsi"/>
        </w:rPr>
        <w:t xml:space="preserve"> </w:t>
      </w:r>
      <w:r w:rsidR="00DA3279" w:rsidRPr="00A55140">
        <w:t>of the households who used the Deenbandhu biogas unit are of the opinion that they perceive improvements concerning indoor air quality as a result of cooking with biogas.</w:t>
      </w:r>
    </w:p>
    <w:p w14:paraId="2E45462B" w14:textId="499F8BC9" w:rsidR="00DA3279" w:rsidRDefault="00E01D4A" w:rsidP="00A55140">
      <w:r w:rsidRPr="00B5792C">
        <w:t>2) 100</w:t>
      </w:r>
      <w:r w:rsidR="00992620">
        <w:t xml:space="preserve"> % of households</w:t>
      </w:r>
      <w:r w:rsidR="00DA3279" w:rsidRPr="00A55140">
        <w:t xml:space="preserve"> report to have suffered from health problems before the installation of the bioga</w:t>
      </w:r>
      <w:r w:rsidR="001C6D0E" w:rsidRPr="00B5792C">
        <w:t>s unit and</w:t>
      </w:r>
      <w:r w:rsidRPr="00B5792C">
        <w:t xml:space="preserve"> 100</w:t>
      </w:r>
      <w:r w:rsidR="00DA3279" w:rsidRPr="00A55140">
        <w:t>% of these households report that they perceive an improvement in their respiratory health problems now. Some</w:t>
      </w:r>
      <w:r w:rsidRPr="00B5792C">
        <w:t xml:space="preserve"> of the comments received were:</w:t>
      </w:r>
    </w:p>
    <w:p w14:paraId="19D8D9C8" w14:textId="013F21C4" w:rsidR="00E01D4A" w:rsidRDefault="00E01D4A" w:rsidP="00A55140">
      <w:r>
        <w:lastRenderedPageBreak/>
        <w:t>“</w:t>
      </w:r>
      <w:r w:rsidR="005346D7" w:rsidRPr="00A55140">
        <w:t>No smoke and before we had difficulty in breathing but nowadays we can cook easily</w:t>
      </w:r>
      <w:r>
        <w:t>.”</w:t>
      </w:r>
    </w:p>
    <w:p w14:paraId="3C260A40" w14:textId="0DD86036" w:rsidR="00E01D4A" w:rsidRPr="00A55140" w:rsidRDefault="00E01D4A" w:rsidP="00A55140">
      <w:r>
        <w:t>“N</w:t>
      </w:r>
      <w:r w:rsidRPr="00E01D4A">
        <w:t>o coughing or shortness of breath</w:t>
      </w:r>
      <w:r>
        <w:t>.”</w:t>
      </w:r>
    </w:p>
    <w:p w14:paraId="4D8169A1" w14:textId="1896BFD8" w:rsidR="00DA3279" w:rsidRPr="00676DAF" w:rsidRDefault="00E01D4A" w:rsidP="00A55140">
      <w:r>
        <w:t>“</w:t>
      </w:r>
      <w:r w:rsidRPr="00676DAF">
        <w:t>The air is good because there is no smoke.”</w:t>
      </w:r>
    </w:p>
    <w:p w14:paraId="50150C44" w14:textId="40435F45" w:rsidR="000D2FDC" w:rsidRPr="00676DAF" w:rsidRDefault="00E01D4A" w:rsidP="00A55140">
      <w:r w:rsidRPr="00676DAF">
        <w:t xml:space="preserve">“No smoke, no respiratory problems anymore, no tears in the eyes anymore.” </w:t>
      </w:r>
    </w:p>
    <w:p w14:paraId="63E34AAD" w14:textId="77777777" w:rsidR="00676DAF" w:rsidRDefault="000D2FDC" w:rsidP="00676DAF">
      <w:pPr>
        <w:pStyle w:val="Default"/>
        <w:spacing w:line="480" w:lineRule="auto"/>
        <w:rPr>
          <w:b/>
          <w:color w:val="515151" w:themeColor="text1"/>
          <w:sz w:val="22"/>
          <w:szCs w:val="20"/>
          <w:lang w:val="en-US"/>
        </w:rPr>
      </w:pPr>
      <w:r w:rsidRPr="00676DAF">
        <w:rPr>
          <w:b/>
          <w:color w:val="515151" w:themeColor="text1"/>
          <w:sz w:val="22"/>
          <w:szCs w:val="20"/>
          <w:lang w:val="en-US"/>
        </w:rPr>
        <w:t>Evidence/Supporting Document:</w:t>
      </w:r>
    </w:p>
    <w:p w14:paraId="0BC96A1F" w14:textId="0CA9A9C9" w:rsidR="000D2FDC" w:rsidRPr="00676DAF" w:rsidRDefault="00676DAF" w:rsidP="00676DAF">
      <w:pPr>
        <w:pStyle w:val="Default"/>
        <w:spacing w:line="480" w:lineRule="auto"/>
        <w:rPr>
          <w:b/>
          <w:color w:val="515151" w:themeColor="text1"/>
          <w:sz w:val="22"/>
          <w:szCs w:val="20"/>
          <w:lang w:val="en-US"/>
        </w:rPr>
      </w:pPr>
      <w:r w:rsidRPr="00676DAF">
        <w:rPr>
          <w:color w:val="515151" w:themeColor="text1"/>
          <w:sz w:val="22"/>
          <w:szCs w:val="20"/>
          <w:lang w:val="en-US"/>
        </w:rPr>
        <w:t>Kenya_MP4_CER calculation_15062021</w:t>
      </w:r>
      <w:r>
        <w:rPr>
          <w:color w:val="515151" w:themeColor="text1"/>
          <w:sz w:val="22"/>
          <w:szCs w:val="20"/>
          <w:lang w:val="en-US"/>
        </w:rPr>
        <w:t xml:space="preserve">.xlsx </w:t>
      </w:r>
    </w:p>
    <w:p w14:paraId="27852458" w14:textId="574528BB" w:rsidR="00E01D4A" w:rsidRPr="00A55140" w:rsidRDefault="000D2FDC" w:rsidP="00A55140">
      <w:pPr>
        <w:pStyle w:val="Caption"/>
        <w:rPr>
          <w:b/>
          <w:color w:val="515151" w:themeColor="text1"/>
          <w:sz w:val="22"/>
        </w:rPr>
      </w:pPr>
      <w:r w:rsidRPr="00A55140">
        <w:rPr>
          <w:b/>
          <w:color w:val="515151" w:themeColor="text1"/>
          <w:sz w:val="22"/>
        </w:rPr>
        <w:t>SDG 7, Target 7.1: Availability of affordable and clean energy for dairy farmers due to an innovative and cost effective technology</w:t>
      </w:r>
    </w:p>
    <w:p w14:paraId="13386ED2" w14:textId="77777777" w:rsidR="00C632A8" w:rsidRDefault="00C632A8" w:rsidP="00D2565A">
      <w:pPr>
        <w:pStyle w:val="Default"/>
        <w:rPr>
          <w:b/>
          <w:color w:val="515151" w:themeColor="text1"/>
          <w:sz w:val="22"/>
          <w:szCs w:val="20"/>
          <w:lang w:val="en-US"/>
        </w:rPr>
      </w:pPr>
    </w:p>
    <w:p w14:paraId="66849222" w14:textId="38811EBF" w:rsidR="00C632A8" w:rsidRPr="00A55140" w:rsidRDefault="00C632A8" w:rsidP="00A55140">
      <w:r w:rsidRPr="00A55140">
        <w:t>The access to affordable and clean energy services is hence monitored by calculation of the thermal capacity of commissioned biogas units. The equation used for the calculations is:</w:t>
      </w:r>
    </w:p>
    <w:p w14:paraId="7C60DE6D" w14:textId="3D6755EB" w:rsidR="00C632A8" w:rsidRDefault="00C632A8" w:rsidP="00A55140">
      <w:pPr>
        <w:pStyle w:val="Default"/>
        <w:jc w:val="center"/>
        <w:rPr>
          <w:b/>
          <w:color w:val="515151" w:themeColor="text1"/>
          <w:sz w:val="22"/>
          <w:szCs w:val="20"/>
          <w:lang w:val="en-US"/>
        </w:rPr>
      </w:pPr>
      <w:r w:rsidRPr="00C632A8">
        <w:rPr>
          <w:b/>
          <w:color w:val="515151" w:themeColor="text1"/>
          <w:sz w:val="22"/>
          <w:szCs w:val="20"/>
          <w:lang w:val="en-US"/>
        </w:rPr>
        <w:t>E = ŋ * Hb * Q * N</w:t>
      </w:r>
    </w:p>
    <w:p w14:paraId="4057F92E" w14:textId="7905578D" w:rsidR="00C632A8" w:rsidRDefault="00C632A8" w:rsidP="00A55140">
      <w:pPr>
        <w:pStyle w:val="Default"/>
        <w:jc w:val="center"/>
        <w:rPr>
          <w:b/>
          <w:color w:val="515151" w:themeColor="text1"/>
          <w:sz w:val="22"/>
          <w:szCs w:val="20"/>
          <w:lang w:val="en-US"/>
        </w:rPr>
      </w:pPr>
    </w:p>
    <w:p w14:paraId="31139EA1" w14:textId="414BDF98" w:rsidR="00C632A8" w:rsidRPr="00B5792C" w:rsidRDefault="00C632A8" w:rsidP="00A55140">
      <w:r w:rsidRPr="00A55140">
        <w:t>E: Thermal Capacity</w:t>
      </w:r>
      <w:r w:rsidRPr="00B5792C">
        <w:t xml:space="preserve"> </w:t>
      </w:r>
    </w:p>
    <w:p w14:paraId="2B420385" w14:textId="6F5BD552" w:rsidR="00C632A8" w:rsidRPr="00A55140" w:rsidRDefault="00C632A8" w:rsidP="00A55140">
      <w:r w:rsidRPr="00A55140">
        <w:t>ŋ: Combustion efficiency of burners</w:t>
      </w:r>
    </w:p>
    <w:p w14:paraId="471BB27F" w14:textId="77777777" w:rsidR="00C632A8" w:rsidRPr="00A55140" w:rsidRDefault="00C632A8" w:rsidP="00A55140">
      <w:r w:rsidRPr="00A55140">
        <w:t xml:space="preserve">Hb: Heat of combustion per unit volume of biogas </w:t>
      </w:r>
    </w:p>
    <w:p w14:paraId="1E8DCBFA" w14:textId="616DA9E5" w:rsidR="00C632A8" w:rsidRPr="00A55140" w:rsidRDefault="00C632A8" w:rsidP="00A55140">
      <w:r w:rsidRPr="00A55140">
        <w:t>Q: Burner rating</w:t>
      </w:r>
    </w:p>
    <w:p w14:paraId="041B1F9D" w14:textId="0532C68E" w:rsidR="000D2FDC" w:rsidRDefault="00C632A8" w:rsidP="00A55140">
      <w:r w:rsidRPr="00A55140">
        <w:t>N: Total number of units installed</w:t>
      </w:r>
    </w:p>
    <w:p w14:paraId="07F7EB2A" w14:textId="261C3C32" w:rsidR="00217F00" w:rsidRPr="00A55140" w:rsidRDefault="00B35D10">
      <w:pPr>
        <w:pStyle w:val="Default"/>
        <w:rPr>
          <w:b/>
          <w:color w:val="515151" w:themeColor="text1"/>
          <w:sz w:val="22"/>
          <w:szCs w:val="20"/>
          <w:lang w:val="en-US"/>
        </w:rPr>
      </w:pPr>
      <w:r w:rsidRPr="00A55140">
        <w:rPr>
          <w:b/>
          <w:color w:val="515151" w:themeColor="text1"/>
          <w:sz w:val="22"/>
          <w:szCs w:val="20"/>
          <w:lang w:val="en-US"/>
        </w:rPr>
        <w:t>Monitoring Period 4 (31/12/2018 – 30/12/2020):</w:t>
      </w:r>
    </w:p>
    <w:tbl>
      <w:tblPr>
        <w:tblStyle w:val="GSBoldTable"/>
        <w:tblW w:w="0" w:type="auto"/>
        <w:tblLook w:val="04A0" w:firstRow="1" w:lastRow="0" w:firstColumn="1" w:lastColumn="0" w:noHBand="0" w:noVBand="1"/>
      </w:tblPr>
      <w:tblGrid>
        <w:gridCol w:w="1924"/>
        <w:gridCol w:w="1924"/>
        <w:gridCol w:w="1924"/>
        <w:gridCol w:w="1925"/>
        <w:gridCol w:w="1925"/>
      </w:tblGrid>
      <w:tr w:rsidR="00217F00" w14:paraId="3AC8722E" w14:textId="77777777" w:rsidTr="00A55140">
        <w:trPr>
          <w:cnfStyle w:val="100000000000" w:firstRow="1" w:lastRow="0" w:firstColumn="0" w:lastColumn="0" w:oddVBand="0" w:evenVBand="0" w:oddHBand="0" w:evenHBand="0" w:firstRowFirstColumn="0" w:firstRowLastColumn="0" w:lastRowFirstColumn="0" w:lastRowLastColumn="0"/>
        </w:trPr>
        <w:tc>
          <w:tcPr>
            <w:tcW w:w="1924" w:type="dxa"/>
            <w:vAlign w:val="top"/>
          </w:tcPr>
          <w:p w14:paraId="180D25BD" w14:textId="48C5B2B3" w:rsidR="00217F00" w:rsidRPr="00A55140" w:rsidRDefault="00217F00" w:rsidP="00217F00">
            <w:pPr>
              <w:pStyle w:val="Default"/>
              <w:rPr>
                <w:rFonts w:asciiTheme="minorHAnsi" w:hAnsiTheme="minorHAnsi"/>
                <w:color w:val="FFFFFF" w:themeColor="background1"/>
                <w:sz w:val="22"/>
                <w:szCs w:val="20"/>
                <w:lang w:val="en-US"/>
              </w:rPr>
            </w:pPr>
            <w:r w:rsidRPr="00A55140">
              <w:rPr>
                <w:rFonts w:asciiTheme="minorHAnsi" w:hAnsiTheme="minorHAnsi" w:cs="Arial"/>
                <w:b/>
                <w:bCs/>
                <w:color w:val="FFFFFF" w:themeColor="background1"/>
                <w:szCs w:val="20"/>
                <w:lang w:val="de-DE"/>
              </w:rPr>
              <w:t xml:space="preserve">Activity Data </w:t>
            </w:r>
          </w:p>
        </w:tc>
        <w:tc>
          <w:tcPr>
            <w:tcW w:w="1924" w:type="dxa"/>
            <w:vAlign w:val="top"/>
          </w:tcPr>
          <w:p w14:paraId="4B6D720A" w14:textId="63654AA7" w:rsidR="00217F00" w:rsidRPr="00A55140" w:rsidRDefault="00217F00" w:rsidP="00217F00">
            <w:pPr>
              <w:pStyle w:val="Default"/>
              <w:rPr>
                <w:rFonts w:asciiTheme="minorHAnsi" w:hAnsiTheme="minorHAnsi"/>
                <w:color w:val="FFFFFF" w:themeColor="background1"/>
                <w:sz w:val="22"/>
                <w:szCs w:val="20"/>
                <w:lang w:val="en-US"/>
              </w:rPr>
            </w:pPr>
            <w:r w:rsidRPr="00A55140">
              <w:rPr>
                <w:rFonts w:asciiTheme="minorHAnsi" w:hAnsiTheme="minorHAnsi" w:cs="Arial"/>
                <w:b/>
                <w:bCs/>
                <w:color w:val="FFFFFF" w:themeColor="background1"/>
                <w:szCs w:val="20"/>
                <w:lang w:val="de-DE"/>
              </w:rPr>
              <w:t xml:space="preserve">Unit </w:t>
            </w:r>
          </w:p>
        </w:tc>
        <w:tc>
          <w:tcPr>
            <w:tcW w:w="1924" w:type="dxa"/>
            <w:vAlign w:val="top"/>
          </w:tcPr>
          <w:p w14:paraId="40BCD42E" w14:textId="3FEDC967" w:rsidR="00217F00" w:rsidRPr="00A55140" w:rsidRDefault="00217F00" w:rsidP="00217F00">
            <w:pPr>
              <w:pStyle w:val="Default"/>
              <w:rPr>
                <w:rFonts w:asciiTheme="minorHAnsi" w:hAnsiTheme="minorHAnsi"/>
                <w:color w:val="FFFFFF" w:themeColor="background1"/>
                <w:sz w:val="22"/>
                <w:szCs w:val="20"/>
                <w:lang w:val="en-US"/>
              </w:rPr>
            </w:pPr>
            <w:r w:rsidRPr="00A55140">
              <w:rPr>
                <w:rFonts w:asciiTheme="minorHAnsi" w:hAnsiTheme="minorHAnsi" w:cs="Arial"/>
                <w:b/>
                <w:bCs/>
                <w:color w:val="FFFFFF" w:themeColor="background1"/>
                <w:szCs w:val="20"/>
                <w:lang w:val="de-DE"/>
              </w:rPr>
              <w:t xml:space="preserve">Value </w:t>
            </w:r>
          </w:p>
        </w:tc>
        <w:tc>
          <w:tcPr>
            <w:tcW w:w="1925" w:type="dxa"/>
            <w:vAlign w:val="top"/>
          </w:tcPr>
          <w:p w14:paraId="2724CDCB" w14:textId="20543B01" w:rsidR="00217F00" w:rsidRPr="00A55140" w:rsidRDefault="00217F00" w:rsidP="00217F00">
            <w:pPr>
              <w:pStyle w:val="Default"/>
              <w:rPr>
                <w:rFonts w:asciiTheme="minorHAnsi" w:hAnsiTheme="minorHAnsi"/>
                <w:color w:val="FFFFFF" w:themeColor="background1"/>
                <w:sz w:val="22"/>
                <w:szCs w:val="20"/>
                <w:lang w:val="en-US"/>
              </w:rPr>
            </w:pPr>
            <w:r w:rsidRPr="00A55140">
              <w:rPr>
                <w:rFonts w:asciiTheme="minorHAnsi" w:hAnsiTheme="minorHAnsi" w:cs="Arial"/>
                <w:b/>
                <w:bCs/>
                <w:color w:val="FFFFFF" w:themeColor="background1"/>
                <w:szCs w:val="20"/>
                <w:lang w:val="de-DE"/>
              </w:rPr>
              <w:t xml:space="preserve">Parameter </w:t>
            </w:r>
          </w:p>
        </w:tc>
        <w:tc>
          <w:tcPr>
            <w:tcW w:w="1925" w:type="dxa"/>
            <w:vAlign w:val="top"/>
          </w:tcPr>
          <w:p w14:paraId="49F7997F" w14:textId="5A684CE2" w:rsidR="00217F00" w:rsidRPr="00A55140" w:rsidRDefault="00217F00" w:rsidP="00217F00">
            <w:pPr>
              <w:pStyle w:val="Default"/>
              <w:rPr>
                <w:rFonts w:asciiTheme="minorHAnsi" w:hAnsiTheme="minorHAnsi"/>
                <w:color w:val="FFFFFF" w:themeColor="background1"/>
                <w:sz w:val="22"/>
                <w:szCs w:val="20"/>
                <w:lang w:val="en-US"/>
              </w:rPr>
            </w:pPr>
            <w:r w:rsidRPr="00A55140">
              <w:rPr>
                <w:rFonts w:asciiTheme="minorHAnsi" w:hAnsiTheme="minorHAnsi" w:cs="Arial"/>
                <w:b/>
                <w:bCs/>
                <w:color w:val="FFFFFF" w:themeColor="background1"/>
                <w:szCs w:val="20"/>
                <w:lang w:val="de-DE"/>
              </w:rPr>
              <w:t xml:space="preserve">Source </w:t>
            </w:r>
          </w:p>
        </w:tc>
      </w:tr>
      <w:tr w:rsidR="00217F00" w14:paraId="0CC3BCC7" w14:textId="77777777" w:rsidTr="00A55140">
        <w:tc>
          <w:tcPr>
            <w:tcW w:w="1924" w:type="dxa"/>
            <w:vAlign w:val="top"/>
          </w:tcPr>
          <w:p w14:paraId="36D12EC5" w14:textId="52388DF5"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Combustion efficiency of burners </w:t>
            </w:r>
          </w:p>
        </w:tc>
        <w:tc>
          <w:tcPr>
            <w:tcW w:w="1924" w:type="dxa"/>
            <w:vAlign w:val="top"/>
          </w:tcPr>
          <w:p w14:paraId="11FC102A" w14:textId="5EAAD54E"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 </w:t>
            </w:r>
          </w:p>
        </w:tc>
        <w:tc>
          <w:tcPr>
            <w:tcW w:w="1924" w:type="dxa"/>
            <w:vAlign w:val="top"/>
          </w:tcPr>
          <w:p w14:paraId="0E04D182" w14:textId="5AC6015A"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60 </w:t>
            </w:r>
          </w:p>
        </w:tc>
        <w:tc>
          <w:tcPr>
            <w:tcW w:w="1925" w:type="dxa"/>
            <w:vAlign w:val="top"/>
          </w:tcPr>
          <w:p w14:paraId="69E62F2E" w14:textId="792EC8BC"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Ŋ </w:t>
            </w:r>
          </w:p>
        </w:tc>
        <w:tc>
          <w:tcPr>
            <w:tcW w:w="1925" w:type="dxa"/>
            <w:vAlign w:val="top"/>
          </w:tcPr>
          <w:p w14:paraId="12D7DBD8" w14:textId="77777777" w:rsidR="00217F00" w:rsidRPr="00A55140" w:rsidRDefault="00217F00" w:rsidP="00217F00">
            <w:pPr>
              <w:autoSpaceDE w:val="0"/>
              <w:autoSpaceDN w:val="0"/>
              <w:adjustRightInd w:val="0"/>
              <w:spacing w:line="240" w:lineRule="auto"/>
              <w:contextualSpacing w:val="0"/>
              <w:rPr>
                <w:rFonts w:asciiTheme="minorHAnsi" w:hAnsiTheme="minorHAnsi" w:cs="Arial"/>
                <w:color w:val="515151" w:themeColor="text1"/>
                <w:sz w:val="18"/>
                <w:szCs w:val="18"/>
                <w:lang w:val="de-DE"/>
                <w14:cntxtAlts w14:val="0"/>
              </w:rPr>
            </w:pPr>
            <w:r w:rsidRPr="00A55140">
              <w:rPr>
                <w:rFonts w:asciiTheme="minorHAnsi" w:hAnsiTheme="minorHAnsi" w:cs="Arial"/>
                <w:color w:val="515151" w:themeColor="text1"/>
                <w:sz w:val="18"/>
                <w:szCs w:val="18"/>
                <w:lang w:val="de-DE"/>
                <w14:cntxtAlts w14:val="0"/>
              </w:rPr>
              <w:t xml:space="preserve">Manufacturer </w:t>
            </w:r>
          </w:p>
          <w:p w14:paraId="7E19B792" w14:textId="77777777" w:rsidR="00217F00" w:rsidRPr="00A55140" w:rsidRDefault="00217F00" w:rsidP="00217F00">
            <w:pPr>
              <w:autoSpaceDE w:val="0"/>
              <w:autoSpaceDN w:val="0"/>
              <w:adjustRightInd w:val="0"/>
              <w:spacing w:line="240" w:lineRule="auto"/>
              <w:contextualSpacing w:val="0"/>
              <w:rPr>
                <w:rFonts w:asciiTheme="minorHAnsi" w:hAnsiTheme="minorHAnsi" w:cs="Arial"/>
                <w:color w:val="515151" w:themeColor="text1"/>
                <w:sz w:val="18"/>
                <w:szCs w:val="18"/>
                <w:lang w:val="de-DE"/>
                <w14:cntxtAlts w14:val="0"/>
              </w:rPr>
            </w:pPr>
            <w:r w:rsidRPr="00A55140">
              <w:rPr>
                <w:rFonts w:asciiTheme="minorHAnsi" w:hAnsiTheme="minorHAnsi" w:cs="Arial"/>
                <w:color w:val="515151" w:themeColor="text1"/>
                <w:sz w:val="18"/>
                <w:szCs w:val="18"/>
                <w:lang w:val="de-DE"/>
                <w14:cntxtAlts w14:val="0"/>
              </w:rPr>
              <w:t xml:space="preserve">Specification </w:t>
            </w:r>
          </w:p>
          <w:p w14:paraId="3EACF870" w14:textId="3BA44E88"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 w:val="18"/>
                <w:szCs w:val="18"/>
                <w:lang w:val="de-DE"/>
              </w:rPr>
              <w:t xml:space="preserve">(Rupak) </w:t>
            </w:r>
          </w:p>
        </w:tc>
      </w:tr>
      <w:tr w:rsidR="00217F00" w14:paraId="5B1253EF" w14:textId="77777777" w:rsidTr="00A55140">
        <w:tc>
          <w:tcPr>
            <w:tcW w:w="1924" w:type="dxa"/>
            <w:vAlign w:val="top"/>
          </w:tcPr>
          <w:p w14:paraId="4C2DDAD6" w14:textId="6B3304A0"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en-AU"/>
              </w:rPr>
              <w:t xml:space="preserve">Heat of combustion per unit volume of biogas </w:t>
            </w:r>
          </w:p>
        </w:tc>
        <w:tc>
          <w:tcPr>
            <w:tcW w:w="1924" w:type="dxa"/>
            <w:vAlign w:val="top"/>
          </w:tcPr>
          <w:p w14:paraId="16311498" w14:textId="1F455B26"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MJ/m³ </w:t>
            </w:r>
          </w:p>
        </w:tc>
        <w:tc>
          <w:tcPr>
            <w:tcW w:w="1924" w:type="dxa"/>
            <w:vAlign w:val="top"/>
          </w:tcPr>
          <w:p w14:paraId="73EFBE51" w14:textId="42C67F5F"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22.1 </w:t>
            </w:r>
          </w:p>
        </w:tc>
        <w:tc>
          <w:tcPr>
            <w:tcW w:w="1925" w:type="dxa"/>
            <w:vAlign w:val="top"/>
          </w:tcPr>
          <w:p w14:paraId="4F6524FB" w14:textId="54112CB0"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Hb </w:t>
            </w:r>
          </w:p>
        </w:tc>
        <w:tc>
          <w:tcPr>
            <w:tcW w:w="1925" w:type="dxa"/>
            <w:vAlign w:val="top"/>
          </w:tcPr>
          <w:p w14:paraId="76489F40" w14:textId="31EC3939"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B.T. Nijajuna 2002</w:t>
            </w:r>
            <w:r w:rsidRPr="00A55140">
              <w:rPr>
                <w:rFonts w:asciiTheme="minorHAnsi" w:hAnsiTheme="minorHAnsi" w:cs="Arial"/>
                <w:color w:val="515151" w:themeColor="text1"/>
                <w:sz w:val="10"/>
                <w:szCs w:val="10"/>
                <w:lang w:val="de-DE"/>
              </w:rPr>
              <w:t xml:space="preserve">1 </w:t>
            </w:r>
          </w:p>
        </w:tc>
      </w:tr>
      <w:tr w:rsidR="00217F00" w14:paraId="1452D024" w14:textId="77777777" w:rsidTr="00A55140">
        <w:tc>
          <w:tcPr>
            <w:tcW w:w="1924" w:type="dxa"/>
            <w:tcBorders>
              <w:bottom w:val="single" w:sz="4" w:space="0" w:color="BFBFBF" w:themeColor="background1" w:themeShade="BF"/>
            </w:tcBorders>
            <w:vAlign w:val="top"/>
          </w:tcPr>
          <w:p w14:paraId="692AD110" w14:textId="4E5C1F04"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Burner rating </w:t>
            </w:r>
          </w:p>
        </w:tc>
        <w:tc>
          <w:tcPr>
            <w:tcW w:w="1924" w:type="dxa"/>
            <w:tcBorders>
              <w:bottom w:val="single" w:sz="4" w:space="0" w:color="BFBFBF" w:themeColor="background1" w:themeShade="BF"/>
            </w:tcBorders>
            <w:vAlign w:val="top"/>
          </w:tcPr>
          <w:p w14:paraId="2AA33977" w14:textId="3F1EB817"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m³/h </w:t>
            </w:r>
          </w:p>
        </w:tc>
        <w:tc>
          <w:tcPr>
            <w:tcW w:w="1924" w:type="dxa"/>
            <w:tcBorders>
              <w:bottom w:val="single" w:sz="4" w:space="0" w:color="BFBFBF" w:themeColor="background1" w:themeShade="BF"/>
            </w:tcBorders>
            <w:vAlign w:val="top"/>
          </w:tcPr>
          <w:p w14:paraId="52E05E39" w14:textId="188929D1"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0.9 </w:t>
            </w:r>
          </w:p>
        </w:tc>
        <w:tc>
          <w:tcPr>
            <w:tcW w:w="1925" w:type="dxa"/>
            <w:tcBorders>
              <w:bottom w:val="single" w:sz="4" w:space="0" w:color="BFBFBF" w:themeColor="background1" w:themeShade="BF"/>
            </w:tcBorders>
            <w:vAlign w:val="top"/>
          </w:tcPr>
          <w:p w14:paraId="048BA24D" w14:textId="6115FA23"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Q </w:t>
            </w:r>
          </w:p>
        </w:tc>
        <w:tc>
          <w:tcPr>
            <w:tcW w:w="1925" w:type="dxa"/>
            <w:tcBorders>
              <w:bottom w:val="single" w:sz="4" w:space="0" w:color="BFBFBF" w:themeColor="background1" w:themeShade="BF"/>
            </w:tcBorders>
            <w:vAlign w:val="top"/>
          </w:tcPr>
          <w:p w14:paraId="2329E7EF" w14:textId="77777777" w:rsidR="00217F00" w:rsidRPr="00A55140" w:rsidRDefault="00217F00" w:rsidP="00217F00">
            <w:pPr>
              <w:autoSpaceDE w:val="0"/>
              <w:autoSpaceDN w:val="0"/>
              <w:adjustRightInd w:val="0"/>
              <w:spacing w:line="240" w:lineRule="auto"/>
              <w:contextualSpacing w:val="0"/>
              <w:rPr>
                <w:rFonts w:asciiTheme="minorHAnsi" w:hAnsiTheme="minorHAnsi" w:cs="Arial"/>
                <w:color w:val="515151" w:themeColor="text1"/>
                <w:sz w:val="18"/>
                <w:szCs w:val="18"/>
                <w:lang w:val="de-DE"/>
                <w14:cntxtAlts w14:val="0"/>
              </w:rPr>
            </w:pPr>
            <w:r w:rsidRPr="00A55140">
              <w:rPr>
                <w:rFonts w:asciiTheme="minorHAnsi" w:hAnsiTheme="minorHAnsi" w:cs="Arial"/>
                <w:color w:val="515151" w:themeColor="text1"/>
                <w:sz w:val="18"/>
                <w:szCs w:val="18"/>
                <w:lang w:val="de-DE"/>
                <w14:cntxtAlts w14:val="0"/>
              </w:rPr>
              <w:t xml:space="preserve">Manufacturer Specification </w:t>
            </w:r>
          </w:p>
          <w:p w14:paraId="7BDE2588" w14:textId="19B37FC9"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 w:val="18"/>
                <w:szCs w:val="18"/>
                <w:lang w:val="de-DE"/>
              </w:rPr>
              <w:t xml:space="preserve">(Rupak) </w:t>
            </w:r>
          </w:p>
        </w:tc>
      </w:tr>
      <w:tr w:rsidR="00217F00" w14:paraId="61341A45" w14:textId="77777777" w:rsidTr="00A55140">
        <w:tc>
          <w:tcPr>
            <w:tcW w:w="1924" w:type="dxa"/>
            <w:tcBorders>
              <w:top w:val="single" w:sz="4" w:space="0" w:color="BFBFBF" w:themeColor="background1" w:themeShade="BF"/>
              <w:bottom w:val="single" w:sz="4" w:space="0" w:color="auto"/>
            </w:tcBorders>
            <w:vAlign w:val="top"/>
          </w:tcPr>
          <w:p w14:paraId="4807A0C3" w14:textId="163A1232"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en-AU"/>
              </w:rPr>
              <w:t xml:space="preserve">Unit Conversion rate MJ -&gt; kWh </w:t>
            </w:r>
          </w:p>
        </w:tc>
        <w:tc>
          <w:tcPr>
            <w:tcW w:w="1924" w:type="dxa"/>
            <w:tcBorders>
              <w:top w:val="single" w:sz="4" w:space="0" w:color="BFBFBF" w:themeColor="background1" w:themeShade="BF"/>
              <w:bottom w:val="single" w:sz="4" w:space="0" w:color="auto"/>
            </w:tcBorders>
            <w:vAlign w:val="top"/>
          </w:tcPr>
          <w:p w14:paraId="67AF2EB5" w14:textId="4CD8C947"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 </w:t>
            </w:r>
          </w:p>
        </w:tc>
        <w:tc>
          <w:tcPr>
            <w:tcW w:w="1924" w:type="dxa"/>
            <w:tcBorders>
              <w:top w:val="single" w:sz="4" w:space="0" w:color="BFBFBF" w:themeColor="background1" w:themeShade="BF"/>
              <w:bottom w:val="single" w:sz="4" w:space="0" w:color="auto"/>
            </w:tcBorders>
            <w:vAlign w:val="top"/>
          </w:tcPr>
          <w:p w14:paraId="469FB5BD" w14:textId="33AE7CB7"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0.278 </w:t>
            </w:r>
          </w:p>
        </w:tc>
        <w:tc>
          <w:tcPr>
            <w:tcW w:w="1925" w:type="dxa"/>
            <w:tcBorders>
              <w:top w:val="single" w:sz="4" w:space="0" w:color="BFBFBF" w:themeColor="background1" w:themeShade="BF"/>
              <w:bottom w:val="single" w:sz="4" w:space="0" w:color="auto"/>
            </w:tcBorders>
            <w:vAlign w:val="top"/>
          </w:tcPr>
          <w:p w14:paraId="780BE148" w14:textId="47F33CBD"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 </w:t>
            </w:r>
          </w:p>
        </w:tc>
        <w:tc>
          <w:tcPr>
            <w:tcW w:w="1925" w:type="dxa"/>
            <w:tcBorders>
              <w:top w:val="single" w:sz="4" w:space="0" w:color="BFBFBF" w:themeColor="background1" w:themeShade="BF"/>
              <w:bottom w:val="single" w:sz="4" w:space="0" w:color="auto"/>
            </w:tcBorders>
            <w:vAlign w:val="top"/>
          </w:tcPr>
          <w:p w14:paraId="7ACE8E40" w14:textId="596E0AB5"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 </w:t>
            </w:r>
          </w:p>
        </w:tc>
      </w:tr>
      <w:tr w:rsidR="00217F00" w14:paraId="4FC3D3F0" w14:textId="77777777" w:rsidTr="00A55140">
        <w:tc>
          <w:tcPr>
            <w:tcW w:w="1924" w:type="dxa"/>
            <w:tcBorders>
              <w:top w:val="single" w:sz="4" w:space="0" w:color="auto"/>
            </w:tcBorders>
            <w:vAlign w:val="top"/>
          </w:tcPr>
          <w:p w14:paraId="26E0ADFF" w14:textId="6D9D98BE"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b/>
                <w:bCs/>
                <w:color w:val="515151" w:themeColor="text1"/>
                <w:szCs w:val="20"/>
                <w:lang w:val="en-AU"/>
              </w:rPr>
              <w:t xml:space="preserve">Thermal Capacity per unit per day </w:t>
            </w:r>
          </w:p>
        </w:tc>
        <w:tc>
          <w:tcPr>
            <w:tcW w:w="1924" w:type="dxa"/>
            <w:tcBorders>
              <w:top w:val="single" w:sz="4" w:space="0" w:color="auto"/>
            </w:tcBorders>
            <w:vAlign w:val="top"/>
          </w:tcPr>
          <w:p w14:paraId="147FDCD1" w14:textId="51F9ACCE"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b/>
                <w:bCs/>
                <w:color w:val="515151" w:themeColor="text1"/>
                <w:szCs w:val="20"/>
                <w:lang w:val="de-DE"/>
              </w:rPr>
              <w:t xml:space="preserve">kw </w:t>
            </w:r>
          </w:p>
        </w:tc>
        <w:tc>
          <w:tcPr>
            <w:tcW w:w="1924" w:type="dxa"/>
            <w:tcBorders>
              <w:top w:val="single" w:sz="4" w:space="0" w:color="auto"/>
            </w:tcBorders>
            <w:vAlign w:val="top"/>
          </w:tcPr>
          <w:p w14:paraId="0846F4DA" w14:textId="7267375F"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b/>
                <w:bCs/>
                <w:color w:val="515151" w:themeColor="text1"/>
                <w:szCs w:val="20"/>
                <w:lang w:val="de-DE"/>
              </w:rPr>
              <w:t xml:space="preserve">3.32 </w:t>
            </w:r>
          </w:p>
        </w:tc>
        <w:tc>
          <w:tcPr>
            <w:tcW w:w="1925" w:type="dxa"/>
            <w:tcBorders>
              <w:top w:val="single" w:sz="4" w:space="0" w:color="auto"/>
            </w:tcBorders>
            <w:vAlign w:val="top"/>
          </w:tcPr>
          <w:p w14:paraId="252C0825" w14:textId="7CC41DDC"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b/>
                <w:bCs/>
                <w:color w:val="515151" w:themeColor="text1"/>
                <w:szCs w:val="20"/>
                <w:lang w:val="de-DE"/>
              </w:rPr>
              <w:t xml:space="preserve">E </w:t>
            </w:r>
          </w:p>
        </w:tc>
        <w:tc>
          <w:tcPr>
            <w:tcW w:w="1925" w:type="dxa"/>
            <w:tcBorders>
              <w:top w:val="single" w:sz="4" w:space="0" w:color="auto"/>
            </w:tcBorders>
            <w:vAlign w:val="top"/>
          </w:tcPr>
          <w:p w14:paraId="254128B8" w14:textId="0ABA85EC"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b/>
                <w:bCs/>
                <w:color w:val="515151" w:themeColor="text1"/>
                <w:szCs w:val="20"/>
                <w:lang w:val="de-DE"/>
              </w:rPr>
              <w:t xml:space="preserve">Calculated </w:t>
            </w:r>
          </w:p>
        </w:tc>
      </w:tr>
      <w:tr w:rsidR="00217F00" w14:paraId="254319D7" w14:textId="77777777" w:rsidTr="00A55140">
        <w:tc>
          <w:tcPr>
            <w:tcW w:w="1924" w:type="dxa"/>
            <w:vAlign w:val="top"/>
          </w:tcPr>
          <w:p w14:paraId="26A687C3" w14:textId="30B07219"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en-AU"/>
              </w:rPr>
              <w:t xml:space="preserve">Total number of units installed </w:t>
            </w:r>
          </w:p>
        </w:tc>
        <w:tc>
          <w:tcPr>
            <w:tcW w:w="1924" w:type="dxa"/>
            <w:vAlign w:val="top"/>
          </w:tcPr>
          <w:p w14:paraId="5DB31B0E" w14:textId="3F633D3C" w:rsidR="00217F00" w:rsidRPr="00A55140" w:rsidRDefault="00537FFA" w:rsidP="00217F00">
            <w:pPr>
              <w:pStyle w:val="Default"/>
              <w:rPr>
                <w:rFonts w:asciiTheme="minorHAnsi" w:hAnsiTheme="minorHAnsi"/>
                <w:color w:val="515151" w:themeColor="text1"/>
                <w:sz w:val="22"/>
                <w:szCs w:val="20"/>
                <w:lang w:val="en-US"/>
              </w:rPr>
            </w:pPr>
            <w:r>
              <w:rPr>
                <w:rFonts w:asciiTheme="minorHAnsi" w:hAnsiTheme="minorHAnsi" w:cs="Arial"/>
                <w:color w:val="515151" w:themeColor="text1"/>
                <w:szCs w:val="20"/>
                <w:lang w:val="de-DE"/>
              </w:rPr>
              <w:t>796</w:t>
            </w:r>
            <w:r w:rsidR="00217F00" w:rsidRPr="00A55140">
              <w:rPr>
                <w:rFonts w:asciiTheme="minorHAnsi" w:hAnsiTheme="minorHAnsi" w:cs="Arial"/>
                <w:color w:val="515151" w:themeColor="text1"/>
                <w:szCs w:val="20"/>
                <w:lang w:val="de-DE"/>
              </w:rPr>
              <w:t xml:space="preserve"> </w:t>
            </w:r>
          </w:p>
        </w:tc>
        <w:tc>
          <w:tcPr>
            <w:tcW w:w="1924" w:type="dxa"/>
            <w:vAlign w:val="top"/>
          </w:tcPr>
          <w:p w14:paraId="3B21D269" w14:textId="77777777" w:rsidR="00217F00" w:rsidRPr="00A55140" w:rsidRDefault="00217F00" w:rsidP="00217F00">
            <w:pPr>
              <w:pStyle w:val="Default"/>
              <w:rPr>
                <w:rFonts w:asciiTheme="minorHAnsi" w:hAnsiTheme="minorHAnsi"/>
                <w:color w:val="515151" w:themeColor="text1"/>
                <w:sz w:val="22"/>
                <w:szCs w:val="20"/>
                <w:lang w:val="en-US"/>
              </w:rPr>
            </w:pPr>
          </w:p>
        </w:tc>
        <w:tc>
          <w:tcPr>
            <w:tcW w:w="1925" w:type="dxa"/>
            <w:vAlign w:val="top"/>
          </w:tcPr>
          <w:p w14:paraId="1B91D652" w14:textId="6F6D3817"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N </w:t>
            </w:r>
          </w:p>
        </w:tc>
        <w:tc>
          <w:tcPr>
            <w:tcW w:w="1925" w:type="dxa"/>
            <w:vAlign w:val="top"/>
          </w:tcPr>
          <w:p w14:paraId="44D7C8E7" w14:textId="4C0DC1B7"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color w:val="515151" w:themeColor="text1"/>
                <w:szCs w:val="20"/>
                <w:lang w:val="de-DE"/>
              </w:rPr>
              <w:t xml:space="preserve">Commissioning Database </w:t>
            </w:r>
          </w:p>
        </w:tc>
      </w:tr>
      <w:tr w:rsidR="00217F00" w14:paraId="759175FC" w14:textId="77777777" w:rsidTr="00A55140">
        <w:trPr>
          <w:trHeight w:val="605"/>
        </w:trPr>
        <w:tc>
          <w:tcPr>
            <w:tcW w:w="1924" w:type="dxa"/>
            <w:shd w:val="clear" w:color="auto" w:fill="C1F7F8" w:themeFill="accent2" w:themeFillTint="33"/>
            <w:vAlign w:val="top"/>
          </w:tcPr>
          <w:p w14:paraId="1A43115E" w14:textId="46CD70F5"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b/>
                <w:bCs/>
                <w:color w:val="515151" w:themeColor="text1"/>
                <w:szCs w:val="20"/>
                <w:lang w:val="de-DE"/>
              </w:rPr>
              <w:t xml:space="preserve">Total Thermal Capacity </w:t>
            </w:r>
          </w:p>
        </w:tc>
        <w:tc>
          <w:tcPr>
            <w:tcW w:w="1924" w:type="dxa"/>
            <w:shd w:val="clear" w:color="auto" w:fill="C1F7F8" w:themeFill="accent2" w:themeFillTint="33"/>
            <w:vAlign w:val="top"/>
          </w:tcPr>
          <w:p w14:paraId="19FE08D6" w14:textId="52733AEC"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b/>
                <w:bCs/>
                <w:color w:val="515151" w:themeColor="text1"/>
                <w:szCs w:val="20"/>
                <w:lang w:val="de-DE"/>
              </w:rPr>
              <w:t xml:space="preserve">MW </w:t>
            </w:r>
          </w:p>
        </w:tc>
        <w:tc>
          <w:tcPr>
            <w:tcW w:w="1924" w:type="dxa"/>
            <w:shd w:val="clear" w:color="auto" w:fill="C1F7F8" w:themeFill="accent2" w:themeFillTint="33"/>
            <w:vAlign w:val="top"/>
          </w:tcPr>
          <w:p w14:paraId="41A5AA5F" w14:textId="46DB8E66" w:rsidR="00217F00" w:rsidRPr="00A55140" w:rsidRDefault="00217F00" w:rsidP="00217F00">
            <w:pPr>
              <w:pStyle w:val="Default"/>
              <w:rPr>
                <w:rFonts w:asciiTheme="minorHAnsi" w:hAnsiTheme="minorHAnsi"/>
                <w:color w:val="515151" w:themeColor="text1"/>
                <w:sz w:val="22"/>
                <w:szCs w:val="20"/>
                <w:lang w:val="en-US"/>
              </w:rPr>
            </w:pPr>
            <w:r w:rsidRPr="00217F00">
              <w:rPr>
                <w:rFonts w:asciiTheme="minorHAnsi" w:hAnsiTheme="minorHAnsi" w:cs="Arial"/>
                <w:b/>
                <w:bCs/>
                <w:color w:val="515151" w:themeColor="text1"/>
                <w:szCs w:val="20"/>
                <w:lang w:val="de-DE"/>
              </w:rPr>
              <w:t>2.64</w:t>
            </w:r>
            <w:r w:rsidR="00537FFA">
              <w:rPr>
                <w:rFonts w:asciiTheme="minorHAnsi" w:hAnsiTheme="minorHAnsi" w:cs="Arial"/>
                <w:b/>
                <w:bCs/>
                <w:color w:val="515151" w:themeColor="text1"/>
                <w:szCs w:val="20"/>
                <w:lang w:val="de-DE"/>
              </w:rPr>
              <w:t>1</w:t>
            </w:r>
          </w:p>
        </w:tc>
        <w:tc>
          <w:tcPr>
            <w:tcW w:w="1925" w:type="dxa"/>
            <w:shd w:val="clear" w:color="auto" w:fill="C1F7F8" w:themeFill="accent2" w:themeFillTint="33"/>
            <w:vAlign w:val="top"/>
          </w:tcPr>
          <w:p w14:paraId="0B85D3EF" w14:textId="3A9F411B"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b/>
                <w:bCs/>
                <w:color w:val="515151" w:themeColor="text1"/>
                <w:szCs w:val="20"/>
                <w:lang w:val="de-DE"/>
              </w:rPr>
              <w:t xml:space="preserve">E </w:t>
            </w:r>
          </w:p>
        </w:tc>
        <w:tc>
          <w:tcPr>
            <w:tcW w:w="1925" w:type="dxa"/>
            <w:shd w:val="clear" w:color="auto" w:fill="C1F7F8" w:themeFill="accent2" w:themeFillTint="33"/>
            <w:vAlign w:val="top"/>
          </w:tcPr>
          <w:p w14:paraId="28202E00" w14:textId="0A917FCE" w:rsidR="00217F00" w:rsidRPr="00A55140" w:rsidRDefault="00217F00" w:rsidP="00217F00">
            <w:pPr>
              <w:pStyle w:val="Default"/>
              <w:rPr>
                <w:rFonts w:asciiTheme="minorHAnsi" w:hAnsiTheme="minorHAnsi"/>
                <w:color w:val="515151" w:themeColor="text1"/>
                <w:sz w:val="22"/>
                <w:szCs w:val="20"/>
                <w:lang w:val="en-US"/>
              </w:rPr>
            </w:pPr>
            <w:r w:rsidRPr="00A55140">
              <w:rPr>
                <w:rFonts w:asciiTheme="minorHAnsi" w:hAnsiTheme="minorHAnsi" w:cs="Arial"/>
                <w:b/>
                <w:bCs/>
                <w:color w:val="515151" w:themeColor="text1"/>
                <w:szCs w:val="20"/>
                <w:lang w:val="de-DE"/>
              </w:rPr>
              <w:t xml:space="preserve">Calculated </w:t>
            </w:r>
          </w:p>
        </w:tc>
      </w:tr>
    </w:tbl>
    <w:p w14:paraId="5F4DC4E1" w14:textId="77777777" w:rsidR="00217F00" w:rsidRPr="00A55140" w:rsidRDefault="00217F00" w:rsidP="00B5792C">
      <w:pPr>
        <w:pStyle w:val="Default"/>
        <w:rPr>
          <w:color w:val="515151" w:themeColor="text1"/>
          <w:sz w:val="22"/>
          <w:szCs w:val="20"/>
          <w:lang w:val="en-US"/>
        </w:rPr>
      </w:pPr>
    </w:p>
    <w:p w14:paraId="4C003694" w14:textId="4A0C90CF" w:rsidR="00C632A8" w:rsidRPr="00A55140" w:rsidRDefault="00D10402" w:rsidP="00C632A8">
      <w:pPr>
        <w:pStyle w:val="Default"/>
        <w:rPr>
          <w:color w:val="515151" w:themeColor="text1"/>
          <w:sz w:val="22"/>
          <w:szCs w:val="20"/>
          <w:lang w:val="en-US"/>
        </w:rPr>
      </w:pPr>
      <w:r w:rsidRPr="00A55140">
        <w:rPr>
          <w:color w:val="515151" w:themeColor="text1"/>
          <w:sz w:val="22"/>
          <w:szCs w:val="20"/>
          <w:lang w:val="en-US"/>
        </w:rPr>
        <w:lastRenderedPageBreak/>
        <w:t>The overall thermal capacity of all commissioned biogas units in Moni</w:t>
      </w:r>
      <w:r w:rsidR="00AE680F">
        <w:rPr>
          <w:color w:val="515151" w:themeColor="text1"/>
          <w:sz w:val="22"/>
          <w:szCs w:val="20"/>
          <w:lang w:val="en-US"/>
        </w:rPr>
        <w:t>toring Period three equals 2.641</w:t>
      </w:r>
      <w:r w:rsidRPr="00A55140">
        <w:rPr>
          <w:color w:val="515151" w:themeColor="text1"/>
          <w:sz w:val="22"/>
          <w:szCs w:val="20"/>
          <w:lang w:val="en-US"/>
        </w:rPr>
        <w:t xml:space="preserve"> MW.</w:t>
      </w:r>
    </w:p>
    <w:p w14:paraId="1736B825" w14:textId="77777777" w:rsidR="00D10402" w:rsidRDefault="00D10402" w:rsidP="00C632A8">
      <w:pPr>
        <w:pStyle w:val="Default"/>
        <w:rPr>
          <w:b/>
          <w:color w:val="515151" w:themeColor="text1"/>
          <w:sz w:val="22"/>
          <w:szCs w:val="20"/>
          <w:lang w:val="en-US"/>
        </w:rPr>
      </w:pPr>
    </w:p>
    <w:p w14:paraId="082DD282" w14:textId="09C37E75" w:rsidR="000D2FDC" w:rsidRPr="00911873" w:rsidRDefault="000D2FDC" w:rsidP="00A55140">
      <w:pPr>
        <w:pStyle w:val="Caption"/>
        <w:rPr>
          <w:b/>
          <w:color w:val="515151" w:themeColor="text1"/>
          <w:sz w:val="22"/>
        </w:rPr>
      </w:pPr>
      <w:r w:rsidRPr="00A55140">
        <w:rPr>
          <w:b/>
          <w:color w:val="515151" w:themeColor="text1"/>
          <w:sz w:val="22"/>
        </w:rPr>
        <w:t xml:space="preserve">SDG 8, Target 8.5: Increased employment rates and income generation of </w:t>
      </w:r>
      <w:r w:rsidRPr="00911873">
        <w:rPr>
          <w:b/>
          <w:color w:val="515151" w:themeColor="text1"/>
          <w:sz w:val="22"/>
        </w:rPr>
        <w:t>masons, supervisors and unskilled labor</w:t>
      </w:r>
    </w:p>
    <w:p w14:paraId="2BD6F1F2" w14:textId="43A474B3" w:rsidR="000D2FDC" w:rsidRPr="00911873" w:rsidRDefault="000D2FDC" w:rsidP="00D2565A">
      <w:pPr>
        <w:pStyle w:val="Default"/>
        <w:rPr>
          <w:b/>
          <w:color w:val="515151" w:themeColor="text1"/>
          <w:sz w:val="22"/>
          <w:szCs w:val="20"/>
          <w:lang w:val="en-US"/>
        </w:rPr>
      </w:pPr>
    </w:p>
    <w:p w14:paraId="528FB564" w14:textId="0B053884" w:rsidR="002B5E50" w:rsidRPr="00AD1DAE" w:rsidRDefault="000D2FDC" w:rsidP="002B5E50">
      <w:r w:rsidRPr="00911873">
        <w:t xml:space="preserve">Quality of employment is monitored by the number of masons trained to construct a biogas unit without supervision and being able to train other handyman to become a mason. During Monitoring Period 4, </w:t>
      </w:r>
      <w:r w:rsidR="00AD1DAE" w:rsidRPr="00911873">
        <w:t>7</w:t>
      </w:r>
      <w:r w:rsidR="00743552" w:rsidRPr="00911873">
        <w:t xml:space="preserve"> </w:t>
      </w:r>
      <w:r w:rsidRPr="00911873">
        <w:t>additional masons</w:t>
      </w:r>
      <w:r w:rsidR="004B4036" w:rsidRPr="00911873">
        <w:t xml:space="preserve"> and 1 additional plumber</w:t>
      </w:r>
      <w:r w:rsidRPr="00911873">
        <w:t xml:space="preserve"> </w:t>
      </w:r>
      <w:r w:rsidR="00095CE3" w:rsidRPr="00911873">
        <w:t>completed their training successfully</w:t>
      </w:r>
      <w:r w:rsidR="004B4036" w:rsidRPr="00911873">
        <w:t>.</w:t>
      </w:r>
      <w:r w:rsidR="00095CE3" w:rsidRPr="00911873">
        <w:t xml:space="preserve"> </w:t>
      </w:r>
      <w:r w:rsidR="002B5E50" w:rsidRPr="00911873">
        <w:t>These, like all other</w:t>
      </w:r>
      <w:r w:rsidR="00911873" w:rsidRPr="00911873">
        <w:t xml:space="preserve"> </w:t>
      </w:r>
      <w:r w:rsidR="002B5E50" w:rsidRPr="00911873">
        <w:t>fully skilled masons trained in the project, are now qualified to build biogas plants independently in remote areas without direct supervision. Each mason recruits and trains their own handymen. The handyman’s competence to become a mason is determined by the training mason. During Monitoring Period 4</w:t>
      </w:r>
      <w:r w:rsidR="009C2182">
        <w:t>,</w:t>
      </w:r>
      <w:r w:rsidR="002B5E50" w:rsidRPr="00911873">
        <w:t xml:space="preserve"> </w:t>
      </w:r>
      <w:r w:rsidR="00AD1DAE" w:rsidRPr="00911873">
        <w:t>40</w:t>
      </w:r>
      <w:r w:rsidR="002B5E50" w:rsidRPr="00911873">
        <w:t xml:space="preserve"> people have been working for SES regularly.</w:t>
      </w:r>
    </w:p>
    <w:p w14:paraId="6F08DAFA" w14:textId="73377C4D" w:rsidR="004B4036" w:rsidRPr="00A55140" w:rsidRDefault="001F2770" w:rsidP="00A55140">
      <w:r>
        <w:t>M</w:t>
      </w:r>
      <w:r w:rsidRPr="007336DA">
        <w:t>asons and handym</w:t>
      </w:r>
      <w:r>
        <w:t>en already trained up until MP 4</w:t>
      </w:r>
      <w:r w:rsidRPr="007336DA">
        <w:t xml:space="preserve"> are still available for the construction of biogas units</w:t>
      </w:r>
      <w:r>
        <w:t xml:space="preserve"> in peak phases</w:t>
      </w:r>
      <w:r w:rsidRPr="007336DA">
        <w:t>.</w:t>
      </w:r>
    </w:p>
    <w:p w14:paraId="109F7784" w14:textId="77777777" w:rsidR="001E11D0" w:rsidRPr="00A55140" w:rsidRDefault="001E11D0" w:rsidP="000D2FDC">
      <w:pPr>
        <w:pStyle w:val="Default"/>
        <w:rPr>
          <w:b/>
          <w:color w:val="515151" w:themeColor="text1"/>
          <w:sz w:val="22"/>
          <w:szCs w:val="20"/>
          <w:lang w:val="en-US"/>
        </w:rPr>
      </w:pPr>
    </w:p>
    <w:p w14:paraId="0A710B8C" w14:textId="6CCA6AE7" w:rsidR="000D2FDC" w:rsidRDefault="001E11D0" w:rsidP="000D2FDC">
      <w:pPr>
        <w:pStyle w:val="Default"/>
        <w:rPr>
          <w:b/>
          <w:color w:val="515151" w:themeColor="text1"/>
          <w:sz w:val="22"/>
          <w:szCs w:val="20"/>
          <w:lang w:val="en-US"/>
        </w:rPr>
      </w:pPr>
      <w:r w:rsidRPr="00A55140">
        <w:rPr>
          <w:b/>
          <w:color w:val="515151" w:themeColor="text1"/>
          <w:sz w:val="22"/>
          <w:szCs w:val="20"/>
          <w:lang w:val="en-US"/>
        </w:rPr>
        <w:t>Evidence/Supporting Document:</w:t>
      </w:r>
    </w:p>
    <w:p w14:paraId="2C740380" w14:textId="77777777" w:rsidR="00CE7BAD" w:rsidRDefault="00CE7BAD" w:rsidP="000D2FDC">
      <w:pPr>
        <w:pStyle w:val="Default"/>
        <w:rPr>
          <w:b/>
          <w:color w:val="515151" w:themeColor="text1"/>
          <w:sz w:val="22"/>
          <w:szCs w:val="20"/>
          <w:lang w:val="en-US"/>
        </w:rPr>
      </w:pPr>
    </w:p>
    <w:p w14:paraId="4EABB611" w14:textId="71F19301" w:rsidR="00AD1DAE" w:rsidRPr="00AD1DAE" w:rsidRDefault="00AD1DAE" w:rsidP="000D2FDC">
      <w:pPr>
        <w:pStyle w:val="Default"/>
        <w:rPr>
          <w:color w:val="515151" w:themeColor="text1"/>
          <w:sz w:val="22"/>
          <w:szCs w:val="20"/>
          <w:lang w:val="en-US"/>
        </w:rPr>
      </w:pPr>
      <w:r w:rsidRPr="00AD1DAE">
        <w:rPr>
          <w:color w:val="515151" w:themeColor="text1"/>
          <w:sz w:val="22"/>
          <w:szCs w:val="20"/>
          <w:lang w:val="en-US"/>
        </w:rPr>
        <w:t>List_of_staff_in_2019_and_2020</w:t>
      </w:r>
      <w:r>
        <w:rPr>
          <w:color w:val="515151" w:themeColor="text1"/>
          <w:sz w:val="22"/>
          <w:szCs w:val="20"/>
          <w:lang w:val="en-US"/>
        </w:rPr>
        <w:t>.pdf</w:t>
      </w:r>
    </w:p>
    <w:p w14:paraId="3CDE2D57" w14:textId="77777777" w:rsidR="000D2FDC" w:rsidRDefault="000D2FDC" w:rsidP="00D2565A">
      <w:pPr>
        <w:pStyle w:val="Default"/>
        <w:rPr>
          <w:color w:val="515151" w:themeColor="text1"/>
          <w:sz w:val="22"/>
          <w:szCs w:val="20"/>
          <w:lang w:val="en-US"/>
        </w:rPr>
      </w:pPr>
    </w:p>
    <w:p w14:paraId="09A8F18E" w14:textId="5A84049B" w:rsidR="001A0050" w:rsidRDefault="001A0050" w:rsidP="00D2565A">
      <w:pPr>
        <w:pStyle w:val="Default"/>
        <w:rPr>
          <w:color w:val="515151" w:themeColor="text1"/>
          <w:sz w:val="22"/>
          <w:szCs w:val="20"/>
        </w:rPr>
      </w:pPr>
    </w:p>
    <w:p w14:paraId="3140C1A0" w14:textId="77DB116C" w:rsidR="001A0050" w:rsidRPr="00A55140" w:rsidRDefault="00B35D10" w:rsidP="00A55140">
      <w:pPr>
        <w:pStyle w:val="Caption"/>
        <w:rPr>
          <w:b/>
          <w:color w:val="515151" w:themeColor="text1"/>
          <w:sz w:val="22"/>
        </w:rPr>
      </w:pPr>
      <w:r w:rsidRPr="00A55140">
        <w:rPr>
          <w:b/>
          <w:color w:val="515151" w:themeColor="text1"/>
          <w:sz w:val="22"/>
        </w:rPr>
        <w:t>SDG 13, Target 13.2: Reduction of GHG emissions through the project as contribution to a low greenhouse gas emission development path of Kenya</w:t>
      </w:r>
    </w:p>
    <w:p w14:paraId="2A38449C" w14:textId="6C704008" w:rsidR="00B35D10" w:rsidRDefault="00B35D10" w:rsidP="00D2565A">
      <w:pPr>
        <w:pStyle w:val="Default"/>
        <w:rPr>
          <w:b/>
          <w:color w:val="515151" w:themeColor="text1"/>
          <w:sz w:val="22"/>
          <w:szCs w:val="20"/>
        </w:rPr>
      </w:pPr>
    </w:p>
    <w:p w14:paraId="29556C84" w14:textId="510B19C5" w:rsidR="00B35D10" w:rsidRPr="00A55140" w:rsidRDefault="00B35D10" w:rsidP="00A55140">
      <w:r w:rsidRPr="00B35D10">
        <w:t>In line with the AMS I. E., ver. 4, emission reductions are calculated using the following equation.</w:t>
      </w:r>
    </w:p>
    <w:p w14:paraId="5885FC2E" w14:textId="65E605F2" w:rsidR="00D2565A" w:rsidRPr="00D265E2" w:rsidRDefault="00D2565A" w:rsidP="00D2565A">
      <w:pPr>
        <w:pStyle w:val="SDMPDDPoASubSection1"/>
        <w:tabs>
          <w:tab w:val="clear" w:pos="1474"/>
        </w:tabs>
        <w:ind w:left="709" w:hanging="709"/>
        <w:rPr>
          <w:rFonts w:asciiTheme="minorHAnsi" w:hAnsiTheme="minorHAnsi"/>
          <w:color w:val="515151" w:themeColor="text1"/>
          <w:szCs w:val="22"/>
        </w:rPr>
      </w:pPr>
      <w:r w:rsidRPr="00D265E2">
        <w:rPr>
          <w:rFonts w:asciiTheme="minorHAnsi" w:hAnsiTheme="minorHAnsi"/>
          <w:color w:val="515151" w:themeColor="text1"/>
          <w:szCs w:val="22"/>
        </w:rPr>
        <w:t>Emission Reductions are calculated as:</w:t>
      </w:r>
    </w:p>
    <w:p w14:paraId="2728465B" w14:textId="77777777" w:rsidR="00D2565A" w:rsidRPr="00D265E2" w:rsidRDefault="00477CEE" w:rsidP="00D2565A">
      <w:pPr>
        <w:pStyle w:val="SDMApp1"/>
        <w:ind w:left="0" w:firstLine="0"/>
        <w:rPr>
          <w:rFonts w:eastAsia="MS Mincho"/>
          <w:b w:val="0"/>
          <w:color w:val="515151" w:themeColor="text1"/>
        </w:rPr>
      </w:pPr>
      <m:oMathPara>
        <m:oMath>
          <m:sSub>
            <m:sSubPr>
              <m:ctrlPr>
                <w:rPr>
                  <w:rFonts w:ascii="Cambria Math" w:hAnsi="Cambria Math"/>
                  <w:b w:val="0"/>
                  <w:i/>
                  <w:color w:val="515151" w:themeColor="text1"/>
                </w:rPr>
              </m:ctrlPr>
            </m:sSubPr>
            <m:e>
              <m:r>
                <m:rPr>
                  <m:sty m:val="bi"/>
                </m:rPr>
                <w:rPr>
                  <w:rFonts w:ascii="Cambria Math" w:hAnsi="Cambria Math"/>
                  <w:color w:val="515151" w:themeColor="text1"/>
                </w:rPr>
                <m:t>ER</m:t>
              </m:r>
            </m:e>
            <m:sub>
              <m:r>
                <m:rPr>
                  <m:sty m:val="bi"/>
                </m:rPr>
                <w:rPr>
                  <w:rFonts w:ascii="Cambria Math" w:hAnsi="Cambria Math"/>
                  <w:color w:val="515151" w:themeColor="text1"/>
                </w:rPr>
                <m:t>y</m:t>
              </m:r>
            </m:sub>
          </m:sSub>
          <m:r>
            <m:rPr>
              <m:sty m:val="bi"/>
            </m:rPr>
            <w:rPr>
              <w:rFonts w:ascii="Cambria Math" w:hAnsi="Cambria Math"/>
              <w:color w:val="515151" w:themeColor="text1"/>
            </w:rPr>
            <m:t>=</m:t>
          </m:r>
          <m:sSub>
            <m:sSubPr>
              <m:ctrlPr>
                <w:rPr>
                  <w:rFonts w:ascii="Cambria Math" w:hAnsi="Cambria Math"/>
                  <w:b w:val="0"/>
                  <w:i/>
                  <w:color w:val="515151" w:themeColor="text1"/>
                </w:rPr>
              </m:ctrlPr>
            </m:sSubPr>
            <m:e>
              <m:r>
                <m:rPr>
                  <m:sty m:val="bi"/>
                </m:rPr>
                <w:rPr>
                  <w:rFonts w:ascii="Cambria Math" w:hAnsi="Cambria Math"/>
                  <w:color w:val="515151" w:themeColor="text1"/>
                </w:rPr>
                <m:t>B</m:t>
              </m:r>
            </m:e>
            <m:sub>
              <m:r>
                <m:rPr>
                  <m:sty m:val="bi"/>
                </m:rPr>
                <w:rPr>
                  <w:rFonts w:ascii="Cambria Math" w:hAnsi="Cambria Math"/>
                  <w:color w:val="515151" w:themeColor="text1"/>
                </w:rPr>
                <m:t>y</m:t>
              </m:r>
            </m:sub>
          </m:sSub>
          <m:r>
            <m:rPr>
              <m:sty m:val="bi"/>
            </m:rPr>
            <w:rPr>
              <w:rFonts w:ascii="Cambria Math" w:hAnsi="Cambria Math"/>
              <w:color w:val="515151" w:themeColor="text1"/>
            </w:rPr>
            <m:t>*</m:t>
          </m:r>
          <m:sSub>
            <m:sSubPr>
              <m:ctrlPr>
                <w:rPr>
                  <w:rFonts w:ascii="Cambria Math" w:hAnsi="Cambria Math"/>
                  <w:b w:val="0"/>
                  <w:i/>
                  <w:color w:val="515151" w:themeColor="text1"/>
                </w:rPr>
              </m:ctrlPr>
            </m:sSubPr>
            <m:e>
              <m:r>
                <m:rPr>
                  <m:sty m:val="bi"/>
                </m:rPr>
                <w:rPr>
                  <w:rFonts w:ascii="Cambria Math" w:hAnsi="Cambria Math"/>
                  <w:color w:val="515151" w:themeColor="text1"/>
                </w:rPr>
                <m:t>f</m:t>
              </m:r>
            </m:e>
            <m:sub>
              <m:r>
                <m:rPr>
                  <m:sty m:val="bi"/>
                </m:rPr>
                <w:rPr>
                  <w:rFonts w:ascii="Cambria Math" w:hAnsi="Cambria Math"/>
                  <w:color w:val="515151" w:themeColor="text1"/>
                </w:rPr>
                <m:t>NRB, y</m:t>
              </m:r>
            </m:sub>
          </m:sSub>
          <m:r>
            <m:rPr>
              <m:sty m:val="bi"/>
            </m:rPr>
            <w:rPr>
              <w:rFonts w:ascii="Cambria Math" w:hAnsi="Cambria Math"/>
              <w:color w:val="515151" w:themeColor="text1"/>
            </w:rPr>
            <m:t>*</m:t>
          </m:r>
          <m:sSub>
            <m:sSubPr>
              <m:ctrlPr>
                <w:rPr>
                  <w:rFonts w:ascii="Cambria Math" w:hAnsi="Cambria Math"/>
                  <w:b w:val="0"/>
                  <w:i/>
                  <w:color w:val="515151" w:themeColor="text1"/>
                </w:rPr>
              </m:ctrlPr>
            </m:sSubPr>
            <m:e>
              <m:r>
                <m:rPr>
                  <m:sty m:val="bi"/>
                </m:rPr>
                <w:rPr>
                  <w:rFonts w:ascii="Cambria Math" w:hAnsi="Cambria Math"/>
                  <w:color w:val="515151" w:themeColor="text1"/>
                </w:rPr>
                <m:t>NCV</m:t>
              </m:r>
            </m:e>
            <m:sub>
              <m:r>
                <m:rPr>
                  <m:sty m:val="bi"/>
                </m:rPr>
                <w:rPr>
                  <w:rFonts w:ascii="Cambria Math" w:hAnsi="Cambria Math"/>
                  <w:color w:val="515151" w:themeColor="text1"/>
                </w:rPr>
                <m:t>Biomass</m:t>
              </m:r>
            </m:sub>
          </m:sSub>
          <m:r>
            <m:rPr>
              <m:sty m:val="bi"/>
            </m:rPr>
            <w:rPr>
              <w:rFonts w:ascii="Cambria Math" w:hAnsi="Cambria Math"/>
              <w:color w:val="515151" w:themeColor="text1"/>
            </w:rPr>
            <m:t>*</m:t>
          </m:r>
          <m:sSub>
            <m:sSubPr>
              <m:ctrlPr>
                <w:rPr>
                  <w:rFonts w:ascii="Cambria Math" w:hAnsi="Cambria Math"/>
                  <w:b w:val="0"/>
                  <w:i/>
                  <w:color w:val="515151" w:themeColor="text1"/>
                </w:rPr>
              </m:ctrlPr>
            </m:sSubPr>
            <m:e>
              <m:r>
                <m:rPr>
                  <m:sty m:val="bi"/>
                </m:rPr>
                <w:rPr>
                  <w:rFonts w:ascii="Cambria Math" w:hAnsi="Cambria Math"/>
                  <w:color w:val="515151" w:themeColor="text1"/>
                </w:rPr>
                <m:t>EF</m:t>
              </m:r>
            </m:e>
            <m:sub>
              <m:r>
                <m:rPr>
                  <m:sty m:val="bi"/>
                </m:rPr>
                <w:rPr>
                  <w:rFonts w:ascii="Cambria Math" w:hAnsi="Cambria Math"/>
                  <w:color w:val="515151" w:themeColor="text1"/>
                </w:rPr>
                <m:t>projected fossil fuel</m:t>
              </m:r>
            </m:sub>
          </m:sSub>
        </m:oMath>
      </m:oMathPara>
    </w:p>
    <w:p w14:paraId="144D04B5" w14:textId="394231C1" w:rsidR="00D2565A" w:rsidRPr="00D265E2" w:rsidRDefault="00477CEE" w:rsidP="00D2565A">
      <w:pPr>
        <w:pStyle w:val="SDMApp1"/>
        <w:ind w:left="0" w:firstLine="0"/>
        <w:rPr>
          <w:rFonts w:eastAsia="MS Mincho"/>
          <w:b w:val="0"/>
          <w:color w:val="515151" w:themeColor="text1"/>
        </w:rPr>
      </w:pPr>
      <m:oMathPara>
        <m:oMath>
          <m:sSub>
            <m:sSubPr>
              <m:ctrlPr>
                <w:rPr>
                  <w:rFonts w:ascii="Cambria Math" w:eastAsia="MS Mincho" w:hAnsi="Cambria Math"/>
                  <w:b w:val="0"/>
                  <w:i/>
                  <w:color w:val="515151" w:themeColor="text1"/>
                </w:rPr>
              </m:ctrlPr>
            </m:sSubPr>
            <m:e>
              <m:r>
                <m:rPr>
                  <m:sty m:val="bi"/>
                </m:rPr>
                <w:rPr>
                  <w:rFonts w:ascii="Cambria Math" w:eastAsia="MS Mincho" w:hAnsi="Cambria Math"/>
                  <w:color w:val="515151" w:themeColor="text1"/>
                </w:rPr>
                <m:t>B</m:t>
              </m:r>
            </m:e>
            <m:sub>
              <m:r>
                <m:rPr>
                  <m:sty m:val="bi"/>
                </m:rPr>
                <w:rPr>
                  <w:rFonts w:ascii="Cambria Math" w:eastAsia="MS Mincho" w:hAnsi="Cambria Math"/>
                  <w:color w:val="515151" w:themeColor="text1"/>
                </w:rPr>
                <m:t>y</m:t>
              </m:r>
            </m:sub>
          </m:sSub>
          <m:r>
            <m:rPr>
              <m:sty m:val="bi"/>
            </m:rPr>
            <w:rPr>
              <w:rFonts w:ascii="Cambria Math" w:eastAsia="MS Mincho" w:hAnsi="Cambria Math"/>
              <w:color w:val="515151" w:themeColor="text1"/>
            </w:rPr>
            <m:t>=</m:t>
          </m:r>
          <m:sSub>
            <m:sSubPr>
              <m:ctrlPr>
                <w:rPr>
                  <w:rFonts w:ascii="Cambria Math" w:eastAsia="MS Mincho" w:hAnsi="Cambria Math"/>
                  <w:b w:val="0"/>
                  <w:i/>
                  <w:color w:val="515151" w:themeColor="text1"/>
                </w:rPr>
              </m:ctrlPr>
            </m:sSubPr>
            <m:e>
              <m:r>
                <m:rPr>
                  <m:sty m:val="bi"/>
                </m:rPr>
                <w:rPr>
                  <w:rFonts w:ascii="Cambria Math" w:eastAsia="MS Mincho" w:hAnsi="Cambria Math"/>
                  <w:color w:val="515151" w:themeColor="text1"/>
                </w:rPr>
                <m:t>N</m:t>
              </m:r>
            </m:e>
            <m:sub>
              <m:r>
                <m:rPr>
                  <m:sty m:val="bi"/>
                </m:rPr>
                <w:rPr>
                  <w:rFonts w:ascii="Cambria Math" w:eastAsia="MS Mincho" w:hAnsi="Cambria Math"/>
                  <w:color w:val="515151" w:themeColor="text1"/>
                </w:rPr>
                <m:t>y</m:t>
              </m:r>
            </m:sub>
          </m:sSub>
          <m:r>
            <m:rPr>
              <m:sty m:val="bi"/>
            </m:rPr>
            <w:rPr>
              <w:rFonts w:ascii="Cambria Math" w:eastAsia="MS Mincho" w:hAnsi="Cambria Math"/>
              <w:color w:val="515151" w:themeColor="text1"/>
            </w:rPr>
            <m:t>*</m:t>
          </m:r>
          <m:sSub>
            <m:sSubPr>
              <m:ctrlPr>
                <w:rPr>
                  <w:rFonts w:ascii="Cambria Math" w:eastAsia="MS Mincho" w:hAnsi="Cambria Math"/>
                  <w:b w:val="0"/>
                  <w:i/>
                  <w:color w:val="515151" w:themeColor="text1"/>
                </w:rPr>
              </m:ctrlPr>
            </m:sSubPr>
            <m:e>
              <m:r>
                <m:rPr>
                  <m:sty m:val="bi"/>
                </m:rPr>
                <w:rPr>
                  <w:rFonts w:ascii="Cambria Math" w:eastAsia="MS Mincho" w:hAnsi="Cambria Math"/>
                  <w:color w:val="515151" w:themeColor="text1"/>
                </w:rPr>
                <m:t>B</m:t>
              </m:r>
            </m:e>
            <m:sub>
              <m:r>
                <m:rPr>
                  <m:sty m:val="bi"/>
                </m:rPr>
                <w:rPr>
                  <w:rFonts w:ascii="Cambria Math" w:eastAsia="MS Mincho" w:hAnsi="Cambria Math"/>
                  <w:color w:val="515151" w:themeColor="text1"/>
                </w:rPr>
                <m:t>y</m:t>
              </m:r>
            </m:sub>
          </m:sSub>
          <m:d>
            <m:dPr>
              <m:ctrlPr>
                <w:rPr>
                  <w:rFonts w:ascii="Cambria Math" w:eastAsia="MS Mincho" w:hAnsi="Cambria Math"/>
                  <w:b w:val="0"/>
                  <w:i/>
                  <w:color w:val="515151" w:themeColor="text1"/>
                </w:rPr>
              </m:ctrlPr>
            </m:dPr>
            <m:e>
              <m:r>
                <m:rPr>
                  <m:sty m:val="bi"/>
                </m:rPr>
                <w:rPr>
                  <w:rFonts w:ascii="Cambria Math" w:eastAsia="MS Mincho" w:hAnsi="Cambria Math"/>
                  <w:color w:val="515151" w:themeColor="text1"/>
                </w:rPr>
                <m:t>net per unit</m:t>
              </m:r>
            </m:e>
          </m:d>
          <m:r>
            <m:rPr>
              <m:sty m:val="bi"/>
            </m:rPr>
            <w:rPr>
              <w:rFonts w:ascii="Cambria Math" w:eastAsia="MS Mincho" w:hAnsi="Cambria Math"/>
              <w:color w:val="515151" w:themeColor="text1"/>
            </w:rPr>
            <m:t>*(1-</m:t>
          </m:r>
          <m:sSub>
            <m:sSubPr>
              <m:ctrlPr>
                <w:rPr>
                  <w:rFonts w:ascii="Cambria Math" w:eastAsia="MS Mincho" w:hAnsi="Cambria Math"/>
                  <w:b w:val="0"/>
                  <w:i/>
                  <w:color w:val="515151" w:themeColor="text1"/>
                </w:rPr>
              </m:ctrlPr>
            </m:sSubPr>
            <m:e>
              <m:r>
                <m:rPr>
                  <m:sty m:val="bi"/>
                </m:rPr>
                <w:rPr>
                  <w:rFonts w:ascii="Cambria Math" w:eastAsia="MS Mincho" w:hAnsi="Cambria Math"/>
                  <w:color w:val="515151" w:themeColor="text1"/>
                </w:rPr>
                <m:t>DO</m:t>
              </m:r>
            </m:e>
            <m:sub>
              <m:r>
                <m:rPr>
                  <m:sty m:val="bi"/>
                </m:rPr>
                <w:rPr>
                  <w:rFonts w:ascii="Cambria Math" w:eastAsia="MS Mincho" w:hAnsi="Cambria Math"/>
                  <w:color w:val="515151" w:themeColor="text1"/>
                </w:rPr>
                <m:t>y</m:t>
              </m:r>
            </m:sub>
          </m:sSub>
          <m:r>
            <m:rPr>
              <m:sty m:val="bi"/>
            </m:rPr>
            <w:rPr>
              <w:rFonts w:ascii="Cambria Math" w:eastAsia="MS Mincho" w:hAnsi="Cambria Math"/>
              <w:color w:val="515151" w:themeColor="text1"/>
            </w:rPr>
            <m:t>)</m:t>
          </m:r>
        </m:oMath>
      </m:oMathPara>
    </w:p>
    <w:p w14:paraId="69BA4CFF" w14:textId="77777777" w:rsidR="00D2565A" w:rsidRPr="00D265E2" w:rsidRDefault="00D2565A" w:rsidP="00D2565A">
      <w:pPr>
        <w:pStyle w:val="SDMApp1"/>
        <w:rPr>
          <w:rFonts w:asciiTheme="minorHAnsi" w:hAnsiTheme="minorHAnsi"/>
          <w:color w:val="515151" w:themeColor="text1"/>
          <w:sz w:val="22"/>
          <w:szCs w:val="20"/>
          <w:lang w:val="en-US"/>
        </w:rPr>
      </w:pPr>
      <w:r w:rsidRPr="00D265E2">
        <w:rPr>
          <w:rFonts w:asciiTheme="minorHAnsi" w:hAnsiTheme="minorHAnsi"/>
          <w:color w:val="515151" w:themeColor="text1"/>
          <w:sz w:val="22"/>
          <w:szCs w:val="20"/>
          <w:lang w:val="en-US"/>
        </w:rPr>
        <w:t>Therefore:</w:t>
      </w:r>
    </w:p>
    <w:p w14:paraId="0584F50E" w14:textId="160A3AB7" w:rsidR="00B35D10" w:rsidRPr="00A55140" w:rsidRDefault="00477CEE" w:rsidP="00A55140">
      <w:pPr>
        <w:pStyle w:val="SDMApp1"/>
        <w:ind w:left="0" w:firstLine="0"/>
        <w:rPr>
          <w:color w:val="515151" w:themeColor="text1"/>
        </w:rPr>
      </w:pPr>
      <m:oMathPara>
        <m:oMath>
          <m:sSub>
            <m:sSubPr>
              <m:ctrlPr>
                <w:rPr>
                  <w:rFonts w:ascii="Cambria Math" w:hAnsi="Cambria Math"/>
                  <w:color w:val="515151" w:themeColor="text1"/>
                  <w:lang w:val="en-US"/>
                </w:rPr>
              </m:ctrlPr>
            </m:sSubPr>
            <m:e>
              <m:r>
                <m:rPr>
                  <m:sty m:val="bi"/>
                </m:rPr>
                <w:rPr>
                  <w:rFonts w:ascii="Cambria Math" w:hAnsi="Cambria Math"/>
                  <w:color w:val="515151" w:themeColor="text1"/>
                  <w:lang w:val="en-US"/>
                </w:rPr>
                <m:t>ER</m:t>
              </m:r>
            </m:e>
            <m:sub>
              <m:r>
                <m:rPr>
                  <m:sty m:val="bi"/>
                </m:rPr>
                <w:rPr>
                  <w:rFonts w:ascii="Cambria Math" w:hAnsi="Cambria Math"/>
                  <w:color w:val="515151" w:themeColor="text1"/>
                  <w:lang w:val="en-US"/>
                </w:rPr>
                <m:t>y</m:t>
              </m:r>
            </m:sub>
          </m:sSub>
          <m:r>
            <m:rPr>
              <m:sty m:val="b"/>
            </m:rPr>
            <w:rPr>
              <w:rFonts w:ascii="Cambria Math" w:hAnsi="Cambria Math"/>
              <w:color w:val="515151" w:themeColor="text1"/>
              <w:lang w:val="en-US"/>
            </w:rPr>
            <m:t>=</m:t>
          </m:r>
          <m:sSub>
            <m:sSubPr>
              <m:ctrlPr>
                <w:rPr>
                  <w:rFonts w:ascii="Cambria Math" w:hAnsi="Cambria Math"/>
                  <w:color w:val="515151" w:themeColor="text1"/>
                  <w:lang w:val="en-US"/>
                </w:rPr>
              </m:ctrlPr>
            </m:sSubPr>
            <m:e>
              <m:r>
                <m:rPr>
                  <m:sty m:val="bi"/>
                </m:rPr>
                <w:rPr>
                  <w:rFonts w:ascii="Cambria Math" w:hAnsi="Cambria Math"/>
                  <w:color w:val="515151" w:themeColor="text1"/>
                  <w:lang w:val="en-US"/>
                </w:rPr>
                <m:t>N</m:t>
              </m:r>
            </m:e>
            <m:sub>
              <m:r>
                <m:rPr>
                  <m:sty m:val="bi"/>
                </m:rPr>
                <w:rPr>
                  <w:rFonts w:ascii="Cambria Math" w:hAnsi="Cambria Math"/>
                  <w:color w:val="515151" w:themeColor="text1"/>
                  <w:lang w:val="en-US"/>
                </w:rPr>
                <m:t>y</m:t>
              </m:r>
            </m:sub>
          </m:sSub>
          <m:r>
            <m:rPr>
              <m:sty m:val="b"/>
            </m:rPr>
            <w:rPr>
              <w:rFonts w:ascii="Cambria Math" w:hAnsi="Cambria Math"/>
              <w:color w:val="515151" w:themeColor="text1"/>
              <w:lang w:val="en-US"/>
            </w:rPr>
            <m:t>*</m:t>
          </m:r>
          <m:sSub>
            <m:sSubPr>
              <m:ctrlPr>
                <w:rPr>
                  <w:rFonts w:ascii="Cambria Math" w:hAnsi="Cambria Math"/>
                  <w:color w:val="515151" w:themeColor="text1"/>
                  <w:lang w:val="en-US"/>
                </w:rPr>
              </m:ctrlPr>
            </m:sSubPr>
            <m:e>
              <m:r>
                <m:rPr>
                  <m:sty m:val="bi"/>
                </m:rPr>
                <w:rPr>
                  <w:rFonts w:ascii="Cambria Math" w:hAnsi="Cambria Math"/>
                  <w:color w:val="515151" w:themeColor="text1"/>
                  <w:lang w:val="en-US"/>
                </w:rPr>
                <m:t>B</m:t>
              </m:r>
            </m:e>
            <m:sub>
              <m:r>
                <m:rPr>
                  <m:sty m:val="bi"/>
                </m:rPr>
                <w:rPr>
                  <w:rFonts w:ascii="Cambria Math" w:hAnsi="Cambria Math"/>
                  <w:color w:val="515151" w:themeColor="text1"/>
                  <w:lang w:val="en-US"/>
                </w:rPr>
                <m:t>y</m:t>
              </m:r>
            </m:sub>
          </m:sSub>
          <m:d>
            <m:dPr>
              <m:ctrlPr>
                <w:rPr>
                  <w:rFonts w:ascii="Cambria Math" w:hAnsi="Cambria Math"/>
                  <w:color w:val="515151" w:themeColor="text1"/>
                  <w:lang w:val="en-US"/>
                </w:rPr>
              </m:ctrlPr>
            </m:dPr>
            <m:e>
              <m:r>
                <m:rPr>
                  <m:sty m:val="bi"/>
                </m:rPr>
                <w:rPr>
                  <w:rFonts w:ascii="Cambria Math" w:hAnsi="Cambria Math"/>
                  <w:color w:val="515151" w:themeColor="text1"/>
                  <w:lang w:val="en-US"/>
                </w:rPr>
                <m:t>net</m:t>
              </m:r>
              <m:r>
                <m:rPr>
                  <m:sty m:val="b"/>
                </m:rPr>
                <w:rPr>
                  <w:rFonts w:ascii="Cambria Math" w:hAnsi="Cambria Math"/>
                  <w:color w:val="515151" w:themeColor="text1"/>
                  <w:lang w:val="en-US"/>
                </w:rPr>
                <m:t xml:space="preserve"> </m:t>
              </m:r>
              <m:r>
                <m:rPr>
                  <m:sty m:val="bi"/>
                </m:rPr>
                <w:rPr>
                  <w:rFonts w:ascii="Cambria Math" w:hAnsi="Cambria Math"/>
                  <w:color w:val="515151" w:themeColor="text1"/>
                  <w:lang w:val="en-US"/>
                </w:rPr>
                <m:t>per</m:t>
              </m:r>
              <m:r>
                <m:rPr>
                  <m:sty m:val="b"/>
                </m:rPr>
                <w:rPr>
                  <w:rFonts w:ascii="Cambria Math" w:hAnsi="Cambria Math"/>
                  <w:color w:val="515151" w:themeColor="text1"/>
                  <w:lang w:val="en-US"/>
                </w:rPr>
                <m:t xml:space="preserve"> </m:t>
              </m:r>
              <m:r>
                <m:rPr>
                  <m:sty m:val="bi"/>
                </m:rPr>
                <w:rPr>
                  <w:rFonts w:ascii="Cambria Math" w:hAnsi="Cambria Math"/>
                  <w:color w:val="515151" w:themeColor="text1"/>
                  <w:lang w:val="en-US"/>
                </w:rPr>
                <m:t>unit</m:t>
              </m:r>
            </m:e>
          </m:d>
          <m:r>
            <m:rPr>
              <m:sty m:val="b"/>
            </m:rPr>
            <w:rPr>
              <w:rFonts w:ascii="Cambria Math" w:hAnsi="Cambria Math"/>
              <w:color w:val="515151" w:themeColor="text1"/>
              <w:lang w:val="en-US"/>
            </w:rPr>
            <m:t>*</m:t>
          </m:r>
          <m:d>
            <m:dPr>
              <m:ctrlPr>
                <w:rPr>
                  <w:rFonts w:ascii="Cambria Math" w:hAnsi="Cambria Math"/>
                  <w:color w:val="515151" w:themeColor="text1"/>
                  <w:lang w:val="en-US"/>
                </w:rPr>
              </m:ctrlPr>
            </m:dPr>
            <m:e>
              <m:r>
                <m:rPr>
                  <m:sty m:val="b"/>
                </m:rPr>
                <w:rPr>
                  <w:rFonts w:ascii="Cambria Math" w:hAnsi="Cambria Math"/>
                  <w:color w:val="515151" w:themeColor="text1"/>
                  <w:lang w:val="en-US"/>
                </w:rPr>
                <m:t>1-</m:t>
              </m:r>
              <m:sSub>
                <m:sSubPr>
                  <m:ctrlPr>
                    <w:rPr>
                      <w:rFonts w:ascii="Cambria Math" w:hAnsi="Cambria Math"/>
                      <w:color w:val="515151" w:themeColor="text1"/>
                      <w:lang w:val="en-US"/>
                    </w:rPr>
                  </m:ctrlPr>
                </m:sSubPr>
                <m:e>
                  <m:r>
                    <m:rPr>
                      <m:sty m:val="bi"/>
                    </m:rPr>
                    <w:rPr>
                      <w:rFonts w:ascii="Cambria Math" w:hAnsi="Cambria Math"/>
                      <w:color w:val="515151" w:themeColor="text1"/>
                      <w:lang w:val="en-US"/>
                    </w:rPr>
                    <m:t>DO</m:t>
                  </m:r>
                </m:e>
                <m:sub>
                  <m:r>
                    <m:rPr>
                      <m:sty m:val="bi"/>
                    </m:rPr>
                    <w:rPr>
                      <w:rFonts w:ascii="Cambria Math" w:hAnsi="Cambria Math"/>
                      <w:color w:val="515151" w:themeColor="text1"/>
                      <w:lang w:val="en-US"/>
                    </w:rPr>
                    <m:t>y</m:t>
                  </m:r>
                </m:sub>
              </m:sSub>
            </m:e>
          </m:d>
          <m:r>
            <m:rPr>
              <m:sty m:val="b"/>
            </m:rPr>
            <w:rPr>
              <w:rFonts w:ascii="Cambria Math" w:hAnsi="Cambria Math"/>
              <w:color w:val="515151" w:themeColor="text1"/>
              <w:lang w:val="en-US"/>
            </w:rPr>
            <m:t>*</m:t>
          </m:r>
          <m:sSub>
            <m:sSubPr>
              <m:ctrlPr>
                <w:rPr>
                  <w:rFonts w:ascii="Cambria Math" w:hAnsi="Cambria Math"/>
                  <w:color w:val="515151" w:themeColor="text1"/>
                  <w:lang w:val="en-US"/>
                </w:rPr>
              </m:ctrlPr>
            </m:sSubPr>
            <m:e>
              <m:r>
                <m:rPr>
                  <m:sty m:val="bi"/>
                </m:rPr>
                <w:rPr>
                  <w:rFonts w:ascii="Cambria Math" w:hAnsi="Cambria Math"/>
                  <w:color w:val="515151" w:themeColor="text1"/>
                  <w:lang w:val="en-US"/>
                </w:rPr>
                <m:t>f</m:t>
              </m:r>
            </m:e>
            <m:sub>
              <m:r>
                <m:rPr>
                  <m:sty m:val="bi"/>
                </m:rPr>
                <w:rPr>
                  <w:rFonts w:ascii="Cambria Math" w:hAnsi="Cambria Math"/>
                  <w:color w:val="515151" w:themeColor="text1"/>
                  <w:lang w:val="en-US"/>
                </w:rPr>
                <m:t>NRB</m:t>
              </m:r>
              <m:r>
                <m:rPr>
                  <m:sty m:val="b"/>
                </m:rPr>
                <w:rPr>
                  <w:rFonts w:ascii="Cambria Math" w:hAnsi="Cambria Math"/>
                  <w:color w:val="515151" w:themeColor="text1"/>
                  <w:lang w:val="en-US"/>
                </w:rPr>
                <m:t xml:space="preserve">, </m:t>
              </m:r>
              <m:r>
                <m:rPr>
                  <m:sty m:val="bi"/>
                </m:rPr>
                <w:rPr>
                  <w:rFonts w:ascii="Cambria Math" w:hAnsi="Cambria Math"/>
                  <w:color w:val="515151" w:themeColor="text1"/>
                  <w:lang w:val="en-US"/>
                </w:rPr>
                <m:t>y</m:t>
              </m:r>
            </m:sub>
          </m:sSub>
          <m:r>
            <m:rPr>
              <m:sty m:val="b"/>
            </m:rPr>
            <w:rPr>
              <w:rFonts w:ascii="Cambria Math" w:hAnsi="Cambria Math"/>
              <w:color w:val="515151" w:themeColor="text1"/>
              <w:lang w:val="en-US"/>
            </w:rPr>
            <m:t>*</m:t>
          </m:r>
          <m:sSub>
            <m:sSubPr>
              <m:ctrlPr>
                <w:rPr>
                  <w:rFonts w:ascii="Cambria Math" w:hAnsi="Cambria Math"/>
                  <w:color w:val="515151" w:themeColor="text1"/>
                  <w:lang w:val="en-US"/>
                </w:rPr>
              </m:ctrlPr>
            </m:sSubPr>
            <m:e>
              <m:r>
                <m:rPr>
                  <m:sty m:val="bi"/>
                </m:rPr>
                <w:rPr>
                  <w:rFonts w:ascii="Cambria Math" w:hAnsi="Cambria Math"/>
                  <w:color w:val="515151" w:themeColor="text1"/>
                  <w:lang w:val="en-US"/>
                </w:rPr>
                <m:t>NCV</m:t>
              </m:r>
            </m:e>
            <m:sub>
              <m:r>
                <m:rPr>
                  <m:sty m:val="bi"/>
                </m:rPr>
                <w:rPr>
                  <w:rFonts w:ascii="Cambria Math" w:hAnsi="Cambria Math"/>
                  <w:color w:val="515151" w:themeColor="text1"/>
                  <w:lang w:val="en-US"/>
                </w:rPr>
                <m:t>Biomass</m:t>
              </m:r>
            </m:sub>
          </m:sSub>
          <m:r>
            <m:rPr>
              <m:sty m:val="b"/>
            </m:rPr>
            <w:rPr>
              <w:rFonts w:ascii="Cambria Math" w:hAnsi="Cambria Math"/>
              <w:color w:val="515151" w:themeColor="text1"/>
              <w:lang w:val="en-US"/>
            </w:rPr>
            <m:t>*</m:t>
          </m:r>
          <m:sSub>
            <m:sSubPr>
              <m:ctrlPr>
                <w:rPr>
                  <w:rFonts w:ascii="Cambria Math" w:hAnsi="Cambria Math"/>
                  <w:color w:val="515151" w:themeColor="text1"/>
                  <w:lang w:val="en-US"/>
                </w:rPr>
              </m:ctrlPr>
            </m:sSubPr>
            <m:e>
              <m:r>
                <m:rPr>
                  <m:sty m:val="bi"/>
                </m:rPr>
                <w:rPr>
                  <w:rFonts w:ascii="Cambria Math" w:hAnsi="Cambria Math"/>
                  <w:color w:val="515151" w:themeColor="text1"/>
                  <w:lang w:val="en-US"/>
                </w:rPr>
                <m:t>EF</m:t>
              </m:r>
            </m:e>
            <m:sub>
              <m:r>
                <m:rPr>
                  <m:sty m:val="bi"/>
                </m:rPr>
                <w:rPr>
                  <w:rFonts w:ascii="Cambria Math" w:hAnsi="Cambria Math"/>
                  <w:color w:val="515151" w:themeColor="text1"/>
                  <w:lang w:val="en-US"/>
                </w:rPr>
                <m:t>projected</m:t>
              </m:r>
              <m:r>
                <m:rPr>
                  <m:sty m:val="b"/>
                </m:rPr>
                <w:rPr>
                  <w:rFonts w:ascii="Cambria Math" w:hAnsi="Cambria Math"/>
                  <w:color w:val="515151" w:themeColor="text1"/>
                  <w:lang w:val="en-US"/>
                </w:rPr>
                <m:t xml:space="preserve"> </m:t>
              </m:r>
              <m:r>
                <m:rPr>
                  <m:sty m:val="bi"/>
                </m:rPr>
                <w:rPr>
                  <w:rFonts w:ascii="Cambria Math" w:hAnsi="Cambria Math"/>
                  <w:color w:val="515151" w:themeColor="text1"/>
                  <w:lang w:val="en-US"/>
                </w:rPr>
                <m:t>fossil</m:t>
              </m:r>
              <m:r>
                <m:rPr>
                  <m:sty m:val="b"/>
                </m:rPr>
                <w:rPr>
                  <w:rFonts w:ascii="Cambria Math" w:hAnsi="Cambria Math"/>
                  <w:color w:val="515151" w:themeColor="text1"/>
                  <w:lang w:val="en-US"/>
                </w:rPr>
                <m:t xml:space="preserve"> </m:t>
              </m:r>
              <m:r>
                <m:rPr>
                  <m:sty m:val="bi"/>
                </m:rPr>
                <w:rPr>
                  <w:rFonts w:ascii="Cambria Math" w:hAnsi="Cambria Math"/>
                  <w:color w:val="515151" w:themeColor="text1"/>
                  <w:lang w:val="en-US"/>
                </w:rPr>
                <m:t>fuel</m:t>
              </m:r>
            </m:sub>
          </m:sSub>
        </m:oMath>
      </m:oMathPara>
    </w:p>
    <w:p w14:paraId="780AA6AA" w14:textId="35FFBEA8" w:rsidR="00B35D10" w:rsidRDefault="00B35D10" w:rsidP="00D2565A">
      <w:pPr>
        <w:pStyle w:val="SDMPDDPoASubSection1"/>
        <w:tabs>
          <w:tab w:val="clear" w:pos="1474"/>
          <w:tab w:val="left" w:pos="709"/>
        </w:tabs>
      </w:pPr>
    </w:p>
    <w:tbl>
      <w:tblPr>
        <w:tblStyle w:val="GSBoldTable"/>
        <w:tblW w:w="0" w:type="auto"/>
        <w:tblLook w:val="04A0" w:firstRow="1" w:lastRow="0" w:firstColumn="1" w:lastColumn="0" w:noHBand="0" w:noVBand="1"/>
      </w:tblPr>
      <w:tblGrid>
        <w:gridCol w:w="1784"/>
        <w:gridCol w:w="2443"/>
        <w:gridCol w:w="1271"/>
        <w:gridCol w:w="4131"/>
      </w:tblGrid>
      <w:tr w:rsidR="00D2565A" w:rsidRPr="003F5472" w14:paraId="266D1D32" w14:textId="77777777" w:rsidTr="00D265E2">
        <w:trPr>
          <w:cnfStyle w:val="100000000000" w:firstRow="1" w:lastRow="0" w:firstColumn="0" w:lastColumn="0" w:oddVBand="0" w:evenVBand="0" w:oddHBand="0" w:evenHBand="0" w:firstRowFirstColumn="0" w:firstRowLastColumn="0" w:lastRowFirstColumn="0" w:lastRowLastColumn="0"/>
        </w:trPr>
        <w:tc>
          <w:tcPr>
            <w:tcW w:w="1784" w:type="dxa"/>
          </w:tcPr>
          <w:p w14:paraId="660BD75D" w14:textId="77777777" w:rsidR="00D2565A" w:rsidRPr="00D265E2" w:rsidRDefault="00D2565A" w:rsidP="00EF75ED">
            <w:pPr>
              <w:autoSpaceDE w:val="0"/>
              <w:autoSpaceDN w:val="0"/>
              <w:adjustRightInd w:val="0"/>
              <w:rPr>
                <w:rFonts w:eastAsia="MS Mincho" w:cs="Arial"/>
                <w:b/>
                <w:color w:val="FFFFFF" w:themeColor="background1"/>
                <w:szCs w:val="22"/>
              </w:rPr>
            </w:pPr>
            <w:r w:rsidRPr="00D265E2">
              <w:rPr>
                <w:rFonts w:eastAsia="MS Mincho" w:cs="Arial"/>
                <w:b/>
                <w:color w:val="FFFFFF" w:themeColor="background1"/>
                <w:szCs w:val="22"/>
              </w:rPr>
              <w:t>Parameter</w:t>
            </w:r>
          </w:p>
        </w:tc>
        <w:tc>
          <w:tcPr>
            <w:tcW w:w="2443" w:type="dxa"/>
          </w:tcPr>
          <w:p w14:paraId="6F51FA47" w14:textId="77777777" w:rsidR="00D2565A" w:rsidRPr="00D265E2" w:rsidRDefault="00D2565A" w:rsidP="00EF75ED">
            <w:pPr>
              <w:autoSpaceDE w:val="0"/>
              <w:autoSpaceDN w:val="0"/>
              <w:adjustRightInd w:val="0"/>
              <w:rPr>
                <w:rFonts w:eastAsia="MS Mincho" w:cs="Arial"/>
                <w:b/>
                <w:color w:val="FFFFFF" w:themeColor="background1"/>
                <w:szCs w:val="22"/>
              </w:rPr>
            </w:pPr>
            <w:r w:rsidRPr="00D265E2">
              <w:rPr>
                <w:rFonts w:eastAsia="MS Mincho" w:cs="Arial"/>
                <w:b/>
                <w:color w:val="FFFFFF" w:themeColor="background1"/>
                <w:szCs w:val="22"/>
              </w:rPr>
              <w:t>Unit</w:t>
            </w:r>
          </w:p>
        </w:tc>
        <w:tc>
          <w:tcPr>
            <w:tcW w:w="1271" w:type="dxa"/>
          </w:tcPr>
          <w:p w14:paraId="36FB5A6C" w14:textId="77777777" w:rsidR="00D2565A" w:rsidRPr="00D265E2" w:rsidRDefault="00D2565A" w:rsidP="00EF75ED">
            <w:pPr>
              <w:autoSpaceDE w:val="0"/>
              <w:autoSpaceDN w:val="0"/>
              <w:adjustRightInd w:val="0"/>
              <w:rPr>
                <w:rFonts w:eastAsia="MS Mincho" w:cs="Arial"/>
                <w:b/>
                <w:color w:val="FFFFFF" w:themeColor="background1"/>
                <w:szCs w:val="22"/>
              </w:rPr>
            </w:pPr>
            <w:r w:rsidRPr="00D265E2">
              <w:rPr>
                <w:rFonts w:eastAsia="MS Mincho" w:cs="Arial"/>
                <w:b/>
                <w:color w:val="FFFFFF" w:themeColor="background1"/>
                <w:szCs w:val="22"/>
              </w:rPr>
              <w:t>Type</w:t>
            </w:r>
          </w:p>
        </w:tc>
        <w:tc>
          <w:tcPr>
            <w:tcW w:w="4131" w:type="dxa"/>
          </w:tcPr>
          <w:p w14:paraId="63C8B8F9" w14:textId="77777777" w:rsidR="00D2565A" w:rsidRPr="00D265E2" w:rsidRDefault="00D2565A" w:rsidP="00EF75ED">
            <w:pPr>
              <w:autoSpaceDE w:val="0"/>
              <w:autoSpaceDN w:val="0"/>
              <w:adjustRightInd w:val="0"/>
              <w:rPr>
                <w:rFonts w:eastAsia="MS Mincho" w:cs="Arial"/>
                <w:b/>
                <w:color w:val="FFFFFF" w:themeColor="background1"/>
                <w:szCs w:val="22"/>
              </w:rPr>
            </w:pPr>
            <w:r w:rsidRPr="00D265E2">
              <w:rPr>
                <w:rFonts w:eastAsia="MS Mincho" w:cs="Arial"/>
                <w:b/>
                <w:color w:val="FFFFFF" w:themeColor="background1"/>
                <w:szCs w:val="22"/>
              </w:rPr>
              <w:t>Description</w:t>
            </w:r>
          </w:p>
        </w:tc>
      </w:tr>
      <w:tr w:rsidR="00D2565A" w:rsidRPr="003F5472" w14:paraId="6106B8C6" w14:textId="77777777" w:rsidTr="00D265E2">
        <w:tc>
          <w:tcPr>
            <w:tcW w:w="1784" w:type="dxa"/>
          </w:tcPr>
          <w:p w14:paraId="4305E0DA" w14:textId="77777777" w:rsidR="00D2565A" w:rsidRPr="00A94141" w:rsidRDefault="00D2565A" w:rsidP="00EF75ED">
            <w:pPr>
              <w:autoSpaceDE w:val="0"/>
              <w:autoSpaceDN w:val="0"/>
              <w:adjustRightInd w:val="0"/>
              <w:rPr>
                <w:rFonts w:eastAsia="MS Mincho" w:cs="Arial"/>
                <w:i/>
                <w:color w:val="515151" w:themeColor="text1"/>
                <w:szCs w:val="22"/>
              </w:rPr>
            </w:pPr>
            <w:r w:rsidRPr="00A94141">
              <w:rPr>
                <w:rFonts w:eastAsia="MS Mincho" w:cs="Arial"/>
                <w:i/>
                <w:color w:val="515151" w:themeColor="text1"/>
                <w:szCs w:val="22"/>
              </w:rPr>
              <w:t>ER</w:t>
            </w:r>
            <w:r w:rsidRPr="00A94141">
              <w:rPr>
                <w:rFonts w:eastAsia="MS Mincho" w:cs="Arial"/>
                <w:i/>
                <w:color w:val="515151" w:themeColor="text1"/>
                <w:szCs w:val="22"/>
                <w:vertAlign w:val="subscript"/>
              </w:rPr>
              <w:t>y</w:t>
            </w:r>
          </w:p>
        </w:tc>
        <w:tc>
          <w:tcPr>
            <w:tcW w:w="2443" w:type="dxa"/>
          </w:tcPr>
          <w:p w14:paraId="538FF54B"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tCO</w:t>
            </w:r>
            <w:r w:rsidRPr="00A94141">
              <w:rPr>
                <w:rFonts w:eastAsia="MS Mincho" w:cs="Arial"/>
                <w:color w:val="515151" w:themeColor="text1"/>
                <w:szCs w:val="22"/>
                <w:vertAlign w:val="subscript"/>
              </w:rPr>
              <w:t>2</w:t>
            </w:r>
            <w:r w:rsidRPr="00A94141">
              <w:rPr>
                <w:rFonts w:eastAsia="MS Mincho" w:cs="Arial"/>
                <w:color w:val="515151" w:themeColor="text1"/>
                <w:szCs w:val="22"/>
              </w:rPr>
              <w:t>e</w:t>
            </w:r>
          </w:p>
        </w:tc>
        <w:tc>
          <w:tcPr>
            <w:tcW w:w="1271" w:type="dxa"/>
          </w:tcPr>
          <w:p w14:paraId="54C21FE0"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Calculated</w:t>
            </w:r>
          </w:p>
        </w:tc>
        <w:tc>
          <w:tcPr>
            <w:tcW w:w="4131" w:type="dxa"/>
          </w:tcPr>
          <w:p w14:paraId="364DC837" w14:textId="77777777" w:rsidR="00D2565A" w:rsidRPr="00A94141" w:rsidRDefault="00D2565A" w:rsidP="00EF75ED">
            <w:pPr>
              <w:pStyle w:val="Default"/>
              <w:rPr>
                <w:rFonts w:eastAsia="Times New Roman"/>
                <w:color w:val="515151" w:themeColor="text1"/>
                <w:sz w:val="22"/>
                <w:szCs w:val="22"/>
              </w:rPr>
            </w:pPr>
            <w:r w:rsidRPr="00A94141">
              <w:rPr>
                <w:rFonts w:eastAsia="Times New Roman"/>
                <w:color w:val="515151" w:themeColor="text1"/>
                <w:sz w:val="22"/>
                <w:szCs w:val="22"/>
              </w:rPr>
              <w:t xml:space="preserve">Emission reduction during the year </w:t>
            </w:r>
            <w:r w:rsidRPr="00A94141">
              <w:rPr>
                <w:rFonts w:eastAsia="Times New Roman"/>
                <w:i/>
                <w:iCs/>
                <w:color w:val="515151" w:themeColor="text1"/>
                <w:sz w:val="22"/>
                <w:szCs w:val="22"/>
              </w:rPr>
              <w:t xml:space="preserve">y </w:t>
            </w:r>
            <w:r w:rsidRPr="00A94141">
              <w:rPr>
                <w:rFonts w:eastAsia="Times New Roman"/>
                <w:color w:val="515151" w:themeColor="text1"/>
                <w:sz w:val="22"/>
                <w:szCs w:val="22"/>
              </w:rPr>
              <w:t>in tCO</w:t>
            </w:r>
            <w:r w:rsidRPr="00A94141">
              <w:rPr>
                <w:rFonts w:eastAsia="Times New Roman"/>
                <w:color w:val="515151" w:themeColor="text1"/>
                <w:sz w:val="22"/>
                <w:szCs w:val="22"/>
                <w:vertAlign w:val="subscript"/>
              </w:rPr>
              <w:t>2e</w:t>
            </w:r>
            <w:r w:rsidRPr="00A94141">
              <w:rPr>
                <w:rFonts w:eastAsia="Times New Roman"/>
                <w:color w:val="515151" w:themeColor="text1"/>
                <w:sz w:val="22"/>
                <w:szCs w:val="22"/>
              </w:rPr>
              <w:t xml:space="preserve"> </w:t>
            </w:r>
          </w:p>
        </w:tc>
      </w:tr>
      <w:tr w:rsidR="00D2565A" w:rsidRPr="003F5472" w14:paraId="42A93137" w14:textId="77777777" w:rsidTr="00D265E2">
        <w:tc>
          <w:tcPr>
            <w:tcW w:w="1784" w:type="dxa"/>
          </w:tcPr>
          <w:p w14:paraId="59EB791E" w14:textId="77777777" w:rsidR="00D2565A" w:rsidRPr="00A94141" w:rsidRDefault="00D2565A" w:rsidP="00EF75ED">
            <w:pPr>
              <w:autoSpaceDE w:val="0"/>
              <w:autoSpaceDN w:val="0"/>
              <w:adjustRightInd w:val="0"/>
              <w:rPr>
                <w:rFonts w:eastAsia="MS Mincho" w:cs="Arial"/>
                <w:i/>
                <w:color w:val="515151" w:themeColor="text1"/>
                <w:szCs w:val="22"/>
              </w:rPr>
            </w:pPr>
            <w:r w:rsidRPr="00A94141">
              <w:rPr>
                <w:rFonts w:cs="Arial"/>
                <w:i/>
                <w:color w:val="515151" w:themeColor="text1"/>
                <w:szCs w:val="22"/>
              </w:rPr>
              <w:lastRenderedPageBreak/>
              <w:t>N</w:t>
            </w:r>
            <w:r w:rsidRPr="00A94141">
              <w:rPr>
                <w:rFonts w:cs="Arial"/>
                <w:i/>
                <w:color w:val="515151" w:themeColor="text1"/>
                <w:szCs w:val="22"/>
                <w:vertAlign w:val="subscript"/>
              </w:rPr>
              <w:t>y</w:t>
            </w:r>
          </w:p>
        </w:tc>
        <w:tc>
          <w:tcPr>
            <w:tcW w:w="2443" w:type="dxa"/>
          </w:tcPr>
          <w:p w14:paraId="39925109"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w:t>
            </w:r>
          </w:p>
        </w:tc>
        <w:tc>
          <w:tcPr>
            <w:tcW w:w="1271" w:type="dxa"/>
          </w:tcPr>
          <w:p w14:paraId="3D3B97A4"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Measured</w:t>
            </w:r>
          </w:p>
        </w:tc>
        <w:tc>
          <w:tcPr>
            <w:tcW w:w="4131" w:type="dxa"/>
          </w:tcPr>
          <w:p w14:paraId="32355275" w14:textId="77777777" w:rsidR="00D2565A" w:rsidRPr="00A94141" w:rsidRDefault="00D2565A" w:rsidP="00EF75ED">
            <w:pPr>
              <w:pStyle w:val="Default"/>
              <w:rPr>
                <w:rFonts w:eastAsia="Times New Roman"/>
                <w:color w:val="515151" w:themeColor="text1"/>
                <w:sz w:val="22"/>
                <w:szCs w:val="22"/>
              </w:rPr>
            </w:pPr>
            <w:r w:rsidRPr="00A94141">
              <w:rPr>
                <w:rFonts w:eastAsia="Times New Roman"/>
                <w:color w:val="515151" w:themeColor="text1"/>
                <w:sz w:val="22"/>
                <w:szCs w:val="22"/>
              </w:rPr>
              <w:t>Adjusted total number of biogas units deployed until year y of end users who confirmed that non-renewable biomass was displaced/substituted</w:t>
            </w:r>
          </w:p>
        </w:tc>
      </w:tr>
      <w:tr w:rsidR="00D2565A" w:rsidRPr="003F5472" w14:paraId="0ADE732D" w14:textId="77777777" w:rsidTr="00D265E2">
        <w:tc>
          <w:tcPr>
            <w:tcW w:w="1784" w:type="dxa"/>
          </w:tcPr>
          <w:p w14:paraId="6FD1D53B" w14:textId="77777777" w:rsidR="00D2565A" w:rsidRPr="00A94141" w:rsidRDefault="00D2565A" w:rsidP="00EF75ED">
            <w:pPr>
              <w:autoSpaceDE w:val="0"/>
              <w:autoSpaceDN w:val="0"/>
              <w:adjustRightInd w:val="0"/>
              <w:rPr>
                <w:rFonts w:eastAsia="MS Mincho" w:cs="Arial"/>
                <w:i/>
                <w:color w:val="515151" w:themeColor="text1"/>
                <w:szCs w:val="22"/>
              </w:rPr>
            </w:pPr>
            <w:r w:rsidRPr="00A94141">
              <w:rPr>
                <w:rFonts w:cs="Arial"/>
                <w:i/>
                <w:color w:val="515151" w:themeColor="text1"/>
                <w:szCs w:val="22"/>
              </w:rPr>
              <w:t>DO</w:t>
            </w:r>
            <w:r w:rsidRPr="00A94141">
              <w:rPr>
                <w:rFonts w:cs="Arial"/>
                <w:i/>
                <w:color w:val="515151" w:themeColor="text1"/>
                <w:szCs w:val="22"/>
                <w:vertAlign w:val="subscript"/>
              </w:rPr>
              <w:t>y</w:t>
            </w:r>
          </w:p>
        </w:tc>
        <w:tc>
          <w:tcPr>
            <w:tcW w:w="2443" w:type="dxa"/>
          </w:tcPr>
          <w:p w14:paraId="5FEE38DC"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w:t>
            </w:r>
          </w:p>
        </w:tc>
        <w:tc>
          <w:tcPr>
            <w:tcW w:w="1271" w:type="dxa"/>
          </w:tcPr>
          <w:p w14:paraId="510836A6"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Monitored</w:t>
            </w:r>
          </w:p>
        </w:tc>
        <w:tc>
          <w:tcPr>
            <w:tcW w:w="4131" w:type="dxa"/>
          </w:tcPr>
          <w:p w14:paraId="43255945"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Statistically adjusted drop out from total population of units in period y</w:t>
            </w:r>
          </w:p>
        </w:tc>
      </w:tr>
      <w:tr w:rsidR="00D2565A" w:rsidRPr="003F5472" w14:paraId="0F86F641" w14:textId="77777777" w:rsidTr="00D265E2">
        <w:tc>
          <w:tcPr>
            <w:tcW w:w="1784" w:type="dxa"/>
          </w:tcPr>
          <w:p w14:paraId="12F5474A" w14:textId="77777777" w:rsidR="00D2565A" w:rsidRPr="00A94141" w:rsidRDefault="00D2565A" w:rsidP="00EF75ED">
            <w:pPr>
              <w:autoSpaceDE w:val="0"/>
              <w:autoSpaceDN w:val="0"/>
              <w:adjustRightInd w:val="0"/>
              <w:rPr>
                <w:rFonts w:eastAsia="MS Mincho" w:cs="Arial"/>
                <w:i/>
                <w:color w:val="515151" w:themeColor="text1"/>
                <w:szCs w:val="22"/>
              </w:rPr>
            </w:pPr>
            <w:r w:rsidRPr="00A94141">
              <w:rPr>
                <w:rFonts w:cs="Arial"/>
                <w:i/>
                <w:color w:val="515151" w:themeColor="text1"/>
                <w:szCs w:val="22"/>
              </w:rPr>
              <w:t>B</w:t>
            </w:r>
            <w:r w:rsidRPr="00A94141">
              <w:rPr>
                <w:rFonts w:cs="Arial"/>
                <w:i/>
                <w:color w:val="515151" w:themeColor="text1"/>
                <w:szCs w:val="22"/>
                <w:vertAlign w:val="subscript"/>
              </w:rPr>
              <w:t>y</w:t>
            </w:r>
            <w:r w:rsidRPr="00A94141">
              <w:rPr>
                <w:rFonts w:cs="Arial"/>
                <w:i/>
                <w:color w:val="515151" w:themeColor="text1"/>
                <w:szCs w:val="22"/>
              </w:rPr>
              <w:t xml:space="preserve"> (net per unit)</w:t>
            </w:r>
          </w:p>
        </w:tc>
        <w:tc>
          <w:tcPr>
            <w:tcW w:w="2443" w:type="dxa"/>
          </w:tcPr>
          <w:p w14:paraId="66BC8F5D"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tons/year/household</w:t>
            </w:r>
          </w:p>
        </w:tc>
        <w:tc>
          <w:tcPr>
            <w:tcW w:w="1271" w:type="dxa"/>
          </w:tcPr>
          <w:p w14:paraId="6AD4C670"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Calculated</w:t>
            </w:r>
          </w:p>
        </w:tc>
        <w:tc>
          <w:tcPr>
            <w:tcW w:w="4131" w:type="dxa"/>
          </w:tcPr>
          <w:p w14:paraId="7FCDA6DA"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Quantity of fuelwood and woodfuel consumption for charcoal that is substituted or displaced in tons</w:t>
            </w:r>
          </w:p>
        </w:tc>
      </w:tr>
      <w:tr w:rsidR="00D2565A" w:rsidRPr="003F5472" w14:paraId="6BA59DBB" w14:textId="77777777" w:rsidTr="00D265E2">
        <w:tc>
          <w:tcPr>
            <w:tcW w:w="1784" w:type="dxa"/>
          </w:tcPr>
          <w:p w14:paraId="47A1D53C" w14:textId="77777777" w:rsidR="00D2565A" w:rsidRPr="00A94141" w:rsidRDefault="00D2565A" w:rsidP="00EF75ED">
            <w:pPr>
              <w:autoSpaceDE w:val="0"/>
              <w:autoSpaceDN w:val="0"/>
              <w:adjustRightInd w:val="0"/>
              <w:rPr>
                <w:rFonts w:eastAsia="MS Mincho" w:cs="Arial"/>
                <w:i/>
                <w:color w:val="515151" w:themeColor="text1"/>
                <w:szCs w:val="22"/>
              </w:rPr>
            </w:pPr>
            <w:r w:rsidRPr="00A94141">
              <w:rPr>
                <w:rFonts w:cs="Arial"/>
                <w:i/>
                <w:color w:val="515151" w:themeColor="text1"/>
                <w:szCs w:val="22"/>
              </w:rPr>
              <w:t>f</w:t>
            </w:r>
            <w:r w:rsidRPr="00A94141">
              <w:rPr>
                <w:rFonts w:cs="Arial"/>
                <w:i/>
                <w:color w:val="515151" w:themeColor="text1"/>
                <w:szCs w:val="22"/>
                <w:vertAlign w:val="subscript"/>
              </w:rPr>
              <w:t>NRB,y</w:t>
            </w:r>
          </w:p>
        </w:tc>
        <w:tc>
          <w:tcPr>
            <w:tcW w:w="2443" w:type="dxa"/>
          </w:tcPr>
          <w:p w14:paraId="267E2C6D"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w:t>
            </w:r>
          </w:p>
        </w:tc>
        <w:tc>
          <w:tcPr>
            <w:tcW w:w="1271" w:type="dxa"/>
          </w:tcPr>
          <w:p w14:paraId="517B0BF7"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Fixed</w:t>
            </w:r>
          </w:p>
        </w:tc>
        <w:tc>
          <w:tcPr>
            <w:tcW w:w="4131" w:type="dxa"/>
          </w:tcPr>
          <w:p w14:paraId="7886EFAC"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Fraction of non-renewable woody biomass used in the absence of the project activity in year y</w:t>
            </w:r>
          </w:p>
        </w:tc>
      </w:tr>
      <w:tr w:rsidR="00D2565A" w:rsidRPr="003F5472" w14:paraId="17A7C177" w14:textId="77777777" w:rsidTr="00D265E2">
        <w:tc>
          <w:tcPr>
            <w:tcW w:w="1784" w:type="dxa"/>
          </w:tcPr>
          <w:p w14:paraId="4BA0FFB3" w14:textId="77777777" w:rsidR="00D2565A" w:rsidRPr="00A94141" w:rsidRDefault="00D2565A" w:rsidP="00EF75ED">
            <w:pPr>
              <w:autoSpaceDE w:val="0"/>
              <w:autoSpaceDN w:val="0"/>
              <w:adjustRightInd w:val="0"/>
              <w:rPr>
                <w:rFonts w:eastAsia="MS Mincho" w:cs="Arial"/>
                <w:i/>
                <w:color w:val="515151" w:themeColor="text1"/>
                <w:szCs w:val="22"/>
              </w:rPr>
            </w:pPr>
            <w:r w:rsidRPr="00A94141">
              <w:rPr>
                <w:rFonts w:cs="Arial"/>
                <w:i/>
                <w:color w:val="515151" w:themeColor="text1"/>
                <w:szCs w:val="22"/>
              </w:rPr>
              <w:t>NCV</w:t>
            </w:r>
            <w:r w:rsidRPr="00A94141">
              <w:rPr>
                <w:rFonts w:cs="Arial"/>
                <w:i/>
                <w:color w:val="515151" w:themeColor="text1"/>
                <w:szCs w:val="22"/>
                <w:vertAlign w:val="subscript"/>
              </w:rPr>
              <w:t>biomass</w:t>
            </w:r>
          </w:p>
        </w:tc>
        <w:tc>
          <w:tcPr>
            <w:tcW w:w="2443" w:type="dxa"/>
          </w:tcPr>
          <w:p w14:paraId="7A7E5E19"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TJ/t</w:t>
            </w:r>
          </w:p>
        </w:tc>
        <w:tc>
          <w:tcPr>
            <w:tcW w:w="1271" w:type="dxa"/>
          </w:tcPr>
          <w:p w14:paraId="5CECF0BF"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Fixed</w:t>
            </w:r>
          </w:p>
        </w:tc>
        <w:tc>
          <w:tcPr>
            <w:tcW w:w="4131" w:type="dxa"/>
          </w:tcPr>
          <w:p w14:paraId="08DCBF69"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Net calorific value of the non-renewable woody biomass that is substituted</w:t>
            </w:r>
          </w:p>
        </w:tc>
      </w:tr>
      <w:tr w:rsidR="00D2565A" w:rsidRPr="003F5472" w14:paraId="5D62FD67" w14:textId="77777777" w:rsidTr="00D265E2">
        <w:tc>
          <w:tcPr>
            <w:tcW w:w="1784" w:type="dxa"/>
          </w:tcPr>
          <w:p w14:paraId="19B5AD0D" w14:textId="77777777" w:rsidR="00D2565A" w:rsidRPr="00A94141" w:rsidRDefault="00D2565A" w:rsidP="00EF75ED">
            <w:pPr>
              <w:pStyle w:val="SDMPDDPoASubSection1"/>
              <w:tabs>
                <w:tab w:val="clear" w:pos="1474"/>
              </w:tabs>
              <w:ind w:left="709" w:hanging="709"/>
              <w:jc w:val="left"/>
              <w:rPr>
                <w:b w:val="0"/>
                <w:i/>
                <w:color w:val="515151" w:themeColor="text1"/>
                <w:szCs w:val="22"/>
              </w:rPr>
            </w:pPr>
            <w:r w:rsidRPr="00A94141">
              <w:rPr>
                <w:b w:val="0"/>
                <w:i/>
                <w:color w:val="515151" w:themeColor="text1"/>
                <w:szCs w:val="22"/>
              </w:rPr>
              <w:t>EF</w:t>
            </w:r>
            <w:r w:rsidRPr="00A94141">
              <w:rPr>
                <w:b w:val="0"/>
                <w:i/>
                <w:color w:val="515151" w:themeColor="text1"/>
                <w:szCs w:val="22"/>
                <w:vertAlign w:val="subscript"/>
              </w:rPr>
              <w:t>projected_fossilfuel</w:t>
            </w:r>
          </w:p>
          <w:p w14:paraId="69BC95C0" w14:textId="77777777" w:rsidR="00D2565A" w:rsidRPr="00A94141" w:rsidRDefault="00D2565A" w:rsidP="00EF75ED">
            <w:pPr>
              <w:autoSpaceDE w:val="0"/>
              <w:autoSpaceDN w:val="0"/>
              <w:adjustRightInd w:val="0"/>
              <w:rPr>
                <w:rFonts w:eastAsia="MS Mincho" w:cs="Arial"/>
                <w:i/>
                <w:color w:val="515151" w:themeColor="text1"/>
                <w:szCs w:val="22"/>
              </w:rPr>
            </w:pPr>
          </w:p>
        </w:tc>
        <w:tc>
          <w:tcPr>
            <w:tcW w:w="2443" w:type="dxa"/>
          </w:tcPr>
          <w:p w14:paraId="02C9D247"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tCO</w:t>
            </w:r>
            <w:r w:rsidRPr="00A94141">
              <w:rPr>
                <w:rFonts w:eastAsia="MS Mincho" w:cs="Arial"/>
                <w:color w:val="515151" w:themeColor="text1"/>
                <w:szCs w:val="22"/>
                <w:vertAlign w:val="subscript"/>
              </w:rPr>
              <w:t>2</w:t>
            </w:r>
            <w:r w:rsidRPr="00A94141">
              <w:rPr>
                <w:rFonts w:eastAsia="MS Mincho" w:cs="Arial"/>
                <w:color w:val="515151" w:themeColor="text1"/>
                <w:szCs w:val="22"/>
              </w:rPr>
              <w:t>/TJ</w:t>
            </w:r>
          </w:p>
        </w:tc>
        <w:tc>
          <w:tcPr>
            <w:tcW w:w="1271" w:type="dxa"/>
          </w:tcPr>
          <w:p w14:paraId="13949402"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Fixed</w:t>
            </w:r>
          </w:p>
        </w:tc>
        <w:tc>
          <w:tcPr>
            <w:tcW w:w="4131" w:type="dxa"/>
          </w:tcPr>
          <w:p w14:paraId="45FEDCA2" w14:textId="77777777" w:rsidR="00D2565A" w:rsidRPr="00A94141" w:rsidRDefault="00D2565A" w:rsidP="00EF75ED">
            <w:pPr>
              <w:autoSpaceDE w:val="0"/>
              <w:autoSpaceDN w:val="0"/>
              <w:adjustRightInd w:val="0"/>
              <w:rPr>
                <w:rFonts w:eastAsia="MS Mincho" w:cs="Arial"/>
                <w:color w:val="515151" w:themeColor="text1"/>
                <w:szCs w:val="22"/>
              </w:rPr>
            </w:pPr>
            <w:r w:rsidRPr="00A94141">
              <w:rPr>
                <w:rFonts w:eastAsia="MS Mincho" w:cs="Arial"/>
                <w:color w:val="515151" w:themeColor="text1"/>
                <w:szCs w:val="22"/>
              </w:rPr>
              <w:t>Emission factor for substitution of non-renewable woody biomass by similar consumers</w:t>
            </w:r>
          </w:p>
        </w:tc>
      </w:tr>
    </w:tbl>
    <w:p w14:paraId="39A04E5B" w14:textId="5693BDCE" w:rsidR="00D2565A" w:rsidRDefault="00D2565A" w:rsidP="00D2565A">
      <w:pPr>
        <w:autoSpaceDE w:val="0"/>
        <w:autoSpaceDN w:val="0"/>
        <w:adjustRightInd w:val="0"/>
        <w:rPr>
          <w:rFonts w:eastAsia="MS Mincho" w:cs="Arial"/>
          <w:szCs w:val="22"/>
        </w:rPr>
      </w:pPr>
    </w:p>
    <w:p w14:paraId="24B1825A" w14:textId="59EF3E8A" w:rsidR="00A94141" w:rsidRDefault="00A94141" w:rsidP="00D2565A">
      <w:pPr>
        <w:autoSpaceDE w:val="0"/>
        <w:autoSpaceDN w:val="0"/>
        <w:adjustRightInd w:val="0"/>
        <w:rPr>
          <w:rFonts w:eastAsia="MS Mincho" w:cs="Arial"/>
          <w:szCs w:val="22"/>
        </w:rPr>
      </w:pPr>
    </w:p>
    <w:p w14:paraId="55EACF26" w14:textId="77777777" w:rsidR="00D2565A" w:rsidRPr="003F5472" w:rsidRDefault="00D2565A" w:rsidP="00D2565A">
      <w:pPr>
        <w:autoSpaceDE w:val="0"/>
        <w:autoSpaceDN w:val="0"/>
        <w:adjustRightInd w:val="0"/>
        <w:rPr>
          <w:rFonts w:eastAsia="MS Mincho" w:cs="Arial"/>
          <w:szCs w:val="22"/>
        </w:rPr>
      </w:pPr>
      <w:r w:rsidRPr="003F5472">
        <w:rPr>
          <w:rFonts w:eastAsia="MS Mincho" w:cs="Arial"/>
          <w:szCs w:val="22"/>
        </w:rPr>
        <w:t>Notes:</w:t>
      </w:r>
    </w:p>
    <w:p w14:paraId="2C19D9B2" w14:textId="77777777" w:rsidR="00D2565A" w:rsidRPr="003F5472" w:rsidRDefault="00D2565A" w:rsidP="00D2565A">
      <w:pPr>
        <w:autoSpaceDE w:val="0"/>
        <w:autoSpaceDN w:val="0"/>
        <w:adjustRightInd w:val="0"/>
        <w:rPr>
          <w:rFonts w:eastAsia="MS Mincho" w:cs="Arial"/>
          <w:szCs w:val="22"/>
        </w:rPr>
      </w:pPr>
      <w:r w:rsidRPr="003F5472">
        <w:rPr>
          <w:rFonts w:eastAsia="MS Mincho" w:cs="Arial"/>
          <w:szCs w:val="22"/>
        </w:rPr>
        <w:t xml:space="preserve">1. AMS I.E., ver. 4 offers two options for determining </w:t>
      </w:r>
      <w:r w:rsidRPr="003F5472">
        <w:rPr>
          <w:rFonts w:eastAsia="MS Mincho" w:cs="Arial"/>
          <w:i/>
          <w:szCs w:val="22"/>
        </w:rPr>
        <w:t>B</w:t>
      </w:r>
      <w:r w:rsidRPr="00265D5A">
        <w:rPr>
          <w:rFonts w:eastAsia="MS Mincho" w:cs="Arial"/>
          <w:i/>
          <w:szCs w:val="22"/>
          <w:vertAlign w:val="subscript"/>
        </w:rPr>
        <w:t>y</w:t>
      </w:r>
      <w:r w:rsidRPr="003F5472">
        <w:rPr>
          <w:rFonts w:eastAsia="MS Mincho" w:cs="Arial"/>
          <w:szCs w:val="22"/>
        </w:rPr>
        <w:t>. Project parti</w:t>
      </w:r>
      <w:r>
        <w:rPr>
          <w:rFonts w:eastAsia="MS Mincho" w:cs="Arial"/>
          <w:szCs w:val="22"/>
        </w:rPr>
        <w:t xml:space="preserve">cipants chose option a) of paragraph </w:t>
      </w:r>
      <w:r w:rsidRPr="003F5472">
        <w:rPr>
          <w:rFonts w:eastAsia="MS Mincho" w:cs="Arial"/>
          <w:szCs w:val="22"/>
        </w:rPr>
        <w:t xml:space="preserve">6 (a) Calculated as the product of the number of appliances multiplied by the estimate of average annual consumption of woody biomass per appliance (tons/year); this being expressed in the term: </w:t>
      </w:r>
      <w:r w:rsidRPr="003F5472">
        <w:rPr>
          <w:rFonts w:eastAsia="MS Mincho" w:cs="Arial"/>
          <w:i/>
          <w:iCs/>
          <w:szCs w:val="22"/>
        </w:rPr>
        <w:t>N</w:t>
      </w:r>
      <w:r w:rsidRPr="008C4A3D">
        <w:rPr>
          <w:rFonts w:eastAsia="MS Mincho" w:cs="Arial"/>
          <w:i/>
          <w:iCs/>
          <w:szCs w:val="22"/>
          <w:vertAlign w:val="subscript"/>
        </w:rPr>
        <w:t>y</w:t>
      </w:r>
      <w:r w:rsidRPr="003F5472">
        <w:rPr>
          <w:rFonts w:eastAsia="MS Mincho" w:cs="Arial"/>
          <w:i/>
          <w:iCs/>
          <w:szCs w:val="22"/>
        </w:rPr>
        <w:t xml:space="preserve"> </w:t>
      </w:r>
      <w:r>
        <w:rPr>
          <w:rFonts w:eastAsia="MS Mincho" w:cs="Arial"/>
          <w:i/>
          <w:iCs/>
          <w:szCs w:val="22"/>
        </w:rPr>
        <w:t>*</w:t>
      </w:r>
      <w:r w:rsidRPr="003F5472">
        <w:rPr>
          <w:rFonts w:eastAsia="MS Mincho" w:cs="Arial"/>
          <w:i/>
          <w:iCs/>
          <w:szCs w:val="22"/>
        </w:rPr>
        <w:t xml:space="preserve"> B</w:t>
      </w:r>
      <w:r w:rsidRPr="008C4A3D">
        <w:rPr>
          <w:rFonts w:eastAsia="MS Mincho" w:cs="Arial"/>
          <w:i/>
          <w:iCs/>
          <w:szCs w:val="22"/>
          <w:vertAlign w:val="subscript"/>
        </w:rPr>
        <w:t>y</w:t>
      </w:r>
      <w:r w:rsidRPr="003F5472">
        <w:rPr>
          <w:rFonts w:eastAsia="MS Mincho" w:cs="Arial"/>
          <w:i/>
          <w:iCs/>
          <w:szCs w:val="22"/>
        </w:rPr>
        <w:t xml:space="preserve"> </w:t>
      </w:r>
      <w:r w:rsidRPr="003F5472">
        <w:rPr>
          <w:rFonts w:eastAsia="MS Mincho" w:cs="Arial"/>
          <w:szCs w:val="22"/>
        </w:rPr>
        <w:t>(</w:t>
      </w:r>
      <w:r w:rsidRPr="003F5472">
        <w:rPr>
          <w:rFonts w:eastAsia="MS Mincho" w:cs="Arial"/>
          <w:i/>
          <w:iCs/>
          <w:szCs w:val="22"/>
        </w:rPr>
        <w:t>net</w:t>
      </w:r>
      <w:r>
        <w:rPr>
          <w:rFonts w:eastAsia="MS Mincho" w:cs="Arial"/>
          <w:i/>
          <w:iCs/>
          <w:szCs w:val="22"/>
        </w:rPr>
        <w:t xml:space="preserve"> </w:t>
      </w:r>
      <w:r w:rsidRPr="003F5472">
        <w:rPr>
          <w:rFonts w:eastAsia="MS Mincho" w:cs="Arial"/>
          <w:i/>
          <w:iCs/>
          <w:szCs w:val="22"/>
        </w:rPr>
        <w:t>per</w:t>
      </w:r>
      <w:r>
        <w:rPr>
          <w:rFonts w:eastAsia="MS Mincho" w:cs="Arial"/>
          <w:i/>
          <w:iCs/>
          <w:szCs w:val="22"/>
        </w:rPr>
        <w:t xml:space="preserve"> </w:t>
      </w:r>
      <w:r w:rsidRPr="003F5472">
        <w:rPr>
          <w:rFonts w:eastAsia="MS Mincho" w:cs="Arial"/>
          <w:i/>
          <w:iCs/>
          <w:szCs w:val="22"/>
        </w:rPr>
        <w:t>unit</w:t>
      </w:r>
      <w:r w:rsidRPr="003F5472">
        <w:rPr>
          <w:rFonts w:eastAsia="MS Mincho" w:cs="Arial"/>
          <w:szCs w:val="22"/>
        </w:rPr>
        <w:t xml:space="preserve">) </w:t>
      </w:r>
    </w:p>
    <w:p w14:paraId="76C142EC" w14:textId="77777777" w:rsidR="00D2565A" w:rsidRPr="003F5472" w:rsidRDefault="00D2565A" w:rsidP="00D2565A">
      <w:pPr>
        <w:autoSpaceDE w:val="0"/>
        <w:autoSpaceDN w:val="0"/>
        <w:adjustRightInd w:val="0"/>
        <w:rPr>
          <w:rFonts w:eastAsia="MS Mincho" w:cs="Arial"/>
          <w:i/>
          <w:iCs/>
          <w:szCs w:val="22"/>
        </w:rPr>
      </w:pPr>
    </w:p>
    <w:p w14:paraId="6F315FF4" w14:textId="77777777" w:rsidR="00D2565A" w:rsidRPr="003F5472" w:rsidRDefault="00D2565A" w:rsidP="00D2565A">
      <w:pPr>
        <w:autoSpaceDE w:val="0"/>
        <w:autoSpaceDN w:val="0"/>
        <w:adjustRightInd w:val="0"/>
        <w:rPr>
          <w:rFonts w:eastAsia="MS Mincho" w:cs="Arial"/>
          <w:szCs w:val="22"/>
        </w:rPr>
      </w:pPr>
      <w:r w:rsidRPr="003F5472">
        <w:rPr>
          <w:rFonts w:eastAsia="MS Mincho" w:cs="Arial"/>
          <w:szCs w:val="22"/>
        </w:rPr>
        <w:t>2. Furthermore, AMS I.E., ver.4, para 12 requires checking all or a representative sample of appliances to ensure that they are still operating. This is expressed in parameter DO</w:t>
      </w:r>
      <w:r w:rsidRPr="003F5472">
        <w:rPr>
          <w:rFonts w:eastAsia="MS Mincho" w:cs="Arial"/>
          <w:szCs w:val="22"/>
          <w:vertAlign w:val="subscript"/>
        </w:rPr>
        <w:t>y</w:t>
      </w:r>
      <w:r w:rsidRPr="003F5472">
        <w:rPr>
          <w:rFonts w:eastAsia="MS Mincho" w:cs="Arial"/>
          <w:szCs w:val="22"/>
        </w:rPr>
        <w:t xml:space="preserve"> and considered in the calculation of B</w:t>
      </w:r>
      <w:r w:rsidRPr="003F5472">
        <w:rPr>
          <w:rFonts w:eastAsia="MS Mincho" w:cs="Arial"/>
          <w:szCs w:val="22"/>
          <w:vertAlign w:val="subscript"/>
        </w:rPr>
        <w:t>y</w:t>
      </w:r>
      <w:r w:rsidRPr="003F5472">
        <w:rPr>
          <w:rFonts w:eastAsia="MS Mincho" w:cs="Arial"/>
          <w:szCs w:val="22"/>
        </w:rPr>
        <w:t>.</w:t>
      </w:r>
    </w:p>
    <w:p w14:paraId="543AF62C" w14:textId="77777777" w:rsidR="00D2565A" w:rsidRPr="003F5472" w:rsidRDefault="00D2565A" w:rsidP="00D2565A">
      <w:pPr>
        <w:autoSpaceDE w:val="0"/>
        <w:autoSpaceDN w:val="0"/>
        <w:adjustRightInd w:val="0"/>
        <w:rPr>
          <w:rFonts w:eastAsia="MS Mincho" w:cs="Arial"/>
          <w:szCs w:val="22"/>
        </w:rPr>
      </w:pPr>
    </w:p>
    <w:p w14:paraId="7502CA6D" w14:textId="77777777" w:rsidR="00D2565A" w:rsidRPr="003F5472" w:rsidRDefault="00D2565A" w:rsidP="00D2565A">
      <w:pPr>
        <w:autoSpaceDE w:val="0"/>
        <w:autoSpaceDN w:val="0"/>
        <w:adjustRightInd w:val="0"/>
        <w:spacing w:after="240"/>
        <w:rPr>
          <w:rFonts w:eastAsia="MS Mincho" w:cs="Arial"/>
          <w:szCs w:val="22"/>
        </w:rPr>
      </w:pPr>
      <w:r w:rsidRPr="003F5472">
        <w:rPr>
          <w:rFonts w:eastAsia="MS Mincho" w:cs="Arial"/>
          <w:szCs w:val="22"/>
        </w:rPr>
        <w:t xml:space="preserve">3. The use/diversion of non-renewable woody biomass saved under the project activity by non-project households/users that previously used renewable energy source (para 10a of AMS I.E., ver.4) is addressed by the net to gross adjustment factor of 0.95. Therefore, </w:t>
      </w:r>
      <w:r w:rsidRPr="003F5472">
        <w:rPr>
          <w:rFonts w:eastAsia="MS Mincho" w:cs="Arial"/>
          <w:i/>
          <w:szCs w:val="22"/>
        </w:rPr>
        <w:t>B</w:t>
      </w:r>
      <w:r w:rsidRPr="00C8288C">
        <w:rPr>
          <w:rFonts w:eastAsia="MS Mincho" w:cs="Arial"/>
          <w:i/>
          <w:szCs w:val="22"/>
          <w:vertAlign w:val="subscript"/>
        </w:rPr>
        <w:t>y</w:t>
      </w:r>
      <w:r w:rsidRPr="003F5472">
        <w:rPr>
          <w:rFonts w:eastAsia="MS Mincho" w:cs="Arial"/>
          <w:i/>
          <w:szCs w:val="22"/>
        </w:rPr>
        <w:t xml:space="preserve"> (net</w:t>
      </w:r>
      <w:r>
        <w:rPr>
          <w:rFonts w:eastAsia="MS Mincho" w:cs="Arial"/>
          <w:i/>
          <w:szCs w:val="22"/>
        </w:rPr>
        <w:t xml:space="preserve"> </w:t>
      </w:r>
      <w:r w:rsidRPr="003F5472">
        <w:rPr>
          <w:rFonts w:eastAsia="MS Mincho" w:cs="Arial"/>
          <w:i/>
          <w:szCs w:val="22"/>
        </w:rPr>
        <w:t>per</w:t>
      </w:r>
      <w:r>
        <w:rPr>
          <w:rFonts w:eastAsia="MS Mincho" w:cs="Arial"/>
          <w:i/>
          <w:szCs w:val="22"/>
        </w:rPr>
        <w:t xml:space="preserve"> </w:t>
      </w:r>
      <w:r w:rsidRPr="003F5472">
        <w:rPr>
          <w:rFonts w:eastAsia="MS Mincho" w:cs="Arial"/>
          <w:i/>
          <w:szCs w:val="22"/>
        </w:rPr>
        <w:t xml:space="preserve">unit) </w:t>
      </w:r>
      <w:r w:rsidRPr="003F5472">
        <w:rPr>
          <w:rFonts w:eastAsia="MS Mincho" w:cs="Arial"/>
          <w:szCs w:val="22"/>
        </w:rPr>
        <w:t>is calculated according to the following formula:</w:t>
      </w:r>
    </w:p>
    <w:p w14:paraId="7217B890" w14:textId="3FE92FE6" w:rsidR="00D2565A" w:rsidRPr="00E74F04" w:rsidRDefault="00477CEE" w:rsidP="00D2565A">
      <w:pPr>
        <w:rPr>
          <w:rFonts w:eastAsia="MS Mincho" w:cs="Arial"/>
          <w:b/>
        </w:rPr>
      </w:pPr>
      <m:oMathPara>
        <m:oMath>
          <m:sSub>
            <m:sSubPr>
              <m:ctrlPr>
                <w:rPr>
                  <w:rFonts w:ascii="Cambria Math" w:eastAsia="MS Mincho" w:hAnsi="Cambria Math" w:cs="Arial"/>
                  <w:b/>
                  <w:i/>
                  <w:sz w:val="24"/>
                </w:rPr>
              </m:ctrlPr>
            </m:sSubPr>
            <m:e>
              <m:r>
                <m:rPr>
                  <m:sty m:val="bi"/>
                </m:rPr>
                <w:rPr>
                  <w:rFonts w:ascii="Cambria Math" w:eastAsia="MS Mincho" w:hAnsi="Cambria Math"/>
                </w:rPr>
                <m:t>B</m:t>
              </m:r>
            </m:e>
            <m:sub>
              <m:r>
                <m:rPr>
                  <m:sty m:val="bi"/>
                </m:rPr>
                <w:rPr>
                  <w:rFonts w:ascii="Cambria Math" w:eastAsia="MS Mincho" w:hAnsi="Cambria Math"/>
                </w:rPr>
                <m:t>y</m:t>
              </m:r>
            </m:sub>
          </m:sSub>
          <m:d>
            <m:dPr>
              <m:ctrlPr>
                <w:rPr>
                  <w:rFonts w:ascii="Cambria Math" w:eastAsia="MS Mincho" w:hAnsi="Cambria Math"/>
                  <w:b/>
                  <w:i/>
                </w:rPr>
              </m:ctrlPr>
            </m:dPr>
            <m:e>
              <m:r>
                <m:rPr>
                  <m:sty m:val="bi"/>
                </m:rPr>
                <w:rPr>
                  <w:rFonts w:ascii="Cambria Math" w:eastAsia="MS Mincho" w:hAnsi="Cambria Math"/>
                </w:rPr>
                <m:t>net per unit</m:t>
              </m:r>
            </m:e>
          </m:d>
          <m:r>
            <m:rPr>
              <m:sty m:val="bi"/>
            </m:rPr>
            <w:rPr>
              <w:rFonts w:ascii="Cambria Math" w:eastAsia="MS Mincho" w:hAnsi="Cambria Math"/>
            </w:rPr>
            <m:t>=</m:t>
          </m:r>
          <m:sSub>
            <m:sSubPr>
              <m:ctrlPr>
                <w:rPr>
                  <w:rFonts w:ascii="Cambria Math" w:eastAsia="MS Mincho" w:hAnsi="Cambria Math" w:cs="Arial"/>
                  <w:b/>
                  <w:i/>
                  <w:sz w:val="24"/>
                </w:rPr>
              </m:ctrlPr>
            </m:sSubPr>
            <m:e>
              <m:r>
                <m:rPr>
                  <m:sty m:val="bi"/>
                </m:rPr>
                <w:rPr>
                  <w:rFonts w:ascii="Cambria Math" w:eastAsia="MS Mincho" w:hAnsi="Cambria Math"/>
                </w:rPr>
                <m:t>B</m:t>
              </m:r>
            </m:e>
            <m:sub>
              <m:r>
                <m:rPr>
                  <m:sty m:val="bi"/>
                </m:rPr>
                <w:rPr>
                  <w:rFonts w:ascii="Cambria Math" w:eastAsia="MS Mincho" w:hAnsi="Cambria Math"/>
                </w:rPr>
                <m:t>y</m:t>
              </m:r>
            </m:sub>
          </m:sSub>
          <m:r>
            <m:rPr>
              <m:sty m:val="bi"/>
            </m:rPr>
            <w:rPr>
              <w:rFonts w:ascii="Cambria Math" w:eastAsia="MS Mincho" w:hAnsi="Cambria Math"/>
            </w:rPr>
            <m:t xml:space="preserve">* </m:t>
          </m:r>
          <m:sSub>
            <m:sSubPr>
              <m:ctrlPr>
                <w:rPr>
                  <w:rFonts w:ascii="Cambria Math" w:eastAsia="MS Mincho" w:hAnsi="Cambria Math"/>
                  <w:b/>
                  <w:i/>
                </w:rPr>
              </m:ctrlPr>
            </m:sSubPr>
            <m:e>
              <m:r>
                <m:rPr>
                  <m:sty m:val="bi"/>
                </m:rPr>
                <w:rPr>
                  <w:rFonts w:ascii="Cambria Math" w:eastAsia="MS Mincho" w:hAnsi="Cambria Math"/>
                </w:rPr>
                <m:t>LE</m:t>
              </m:r>
            </m:e>
            <m:sub>
              <m:r>
                <m:rPr>
                  <m:sty m:val="bi"/>
                </m:rPr>
                <w:rPr>
                  <w:rFonts w:ascii="Cambria Math" w:eastAsia="MS Mincho" w:hAnsi="Cambria Math"/>
                </w:rPr>
                <m:t>NRB</m:t>
              </m:r>
            </m:sub>
          </m:sSub>
        </m:oMath>
      </m:oMathPara>
    </w:p>
    <w:p w14:paraId="131053DE" w14:textId="77777777" w:rsidR="00D2565A" w:rsidRDefault="00D2565A" w:rsidP="00D2565A">
      <w:pPr>
        <w:rPr>
          <w:rFonts w:eastAsia="MS Mincho" w:cs="Arial"/>
          <w:b/>
        </w:rPr>
      </w:pPr>
    </w:p>
    <w:tbl>
      <w:tblPr>
        <w:tblStyle w:val="GSBoldTable"/>
        <w:tblW w:w="0" w:type="auto"/>
        <w:tblLook w:val="04A0" w:firstRow="1" w:lastRow="0" w:firstColumn="1" w:lastColumn="0" w:noHBand="0" w:noVBand="1"/>
      </w:tblPr>
      <w:tblGrid>
        <w:gridCol w:w="1773"/>
        <w:gridCol w:w="2516"/>
        <w:gridCol w:w="1193"/>
        <w:gridCol w:w="4147"/>
      </w:tblGrid>
      <w:tr w:rsidR="00D2565A" w:rsidRPr="003F5472" w14:paraId="375BE182" w14:textId="77777777" w:rsidTr="00D265E2">
        <w:trPr>
          <w:cnfStyle w:val="100000000000" w:firstRow="1" w:lastRow="0" w:firstColumn="0" w:lastColumn="0" w:oddVBand="0" w:evenVBand="0" w:oddHBand="0" w:evenHBand="0" w:firstRowFirstColumn="0" w:firstRowLastColumn="0" w:lastRowFirstColumn="0" w:lastRowLastColumn="0"/>
        </w:trPr>
        <w:tc>
          <w:tcPr>
            <w:tcW w:w="1773" w:type="dxa"/>
          </w:tcPr>
          <w:p w14:paraId="746E2052" w14:textId="77777777" w:rsidR="00D2565A" w:rsidRPr="00D265E2" w:rsidRDefault="00D2565A" w:rsidP="00EF75ED">
            <w:pPr>
              <w:autoSpaceDE w:val="0"/>
              <w:autoSpaceDN w:val="0"/>
              <w:adjustRightInd w:val="0"/>
              <w:rPr>
                <w:rFonts w:eastAsia="MS Mincho" w:cs="Arial"/>
                <w:b/>
                <w:color w:val="FFFFFF" w:themeColor="background1"/>
                <w:szCs w:val="22"/>
              </w:rPr>
            </w:pPr>
            <w:r w:rsidRPr="00D265E2">
              <w:rPr>
                <w:rFonts w:eastAsia="MS Mincho" w:cs="Arial"/>
                <w:b/>
                <w:color w:val="FFFFFF" w:themeColor="background1"/>
                <w:szCs w:val="22"/>
              </w:rPr>
              <w:t>Parameter</w:t>
            </w:r>
          </w:p>
        </w:tc>
        <w:tc>
          <w:tcPr>
            <w:tcW w:w="2516" w:type="dxa"/>
          </w:tcPr>
          <w:p w14:paraId="3FDADE3A" w14:textId="77777777" w:rsidR="00D2565A" w:rsidRPr="00D265E2" w:rsidRDefault="00D2565A" w:rsidP="00EF75ED">
            <w:pPr>
              <w:autoSpaceDE w:val="0"/>
              <w:autoSpaceDN w:val="0"/>
              <w:adjustRightInd w:val="0"/>
              <w:rPr>
                <w:rFonts w:eastAsia="MS Mincho" w:cs="Arial"/>
                <w:b/>
                <w:color w:val="FFFFFF" w:themeColor="background1"/>
                <w:szCs w:val="22"/>
              </w:rPr>
            </w:pPr>
            <w:r w:rsidRPr="00D265E2">
              <w:rPr>
                <w:rFonts w:eastAsia="MS Mincho" w:cs="Arial"/>
                <w:b/>
                <w:color w:val="FFFFFF" w:themeColor="background1"/>
                <w:szCs w:val="22"/>
              </w:rPr>
              <w:t>Unit</w:t>
            </w:r>
          </w:p>
        </w:tc>
        <w:tc>
          <w:tcPr>
            <w:tcW w:w="1193" w:type="dxa"/>
          </w:tcPr>
          <w:p w14:paraId="4A8C3B66" w14:textId="77777777" w:rsidR="00D2565A" w:rsidRPr="00D265E2" w:rsidRDefault="00D2565A" w:rsidP="00EF75ED">
            <w:pPr>
              <w:autoSpaceDE w:val="0"/>
              <w:autoSpaceDN w:val="0"/>
              <w:adjustRightInd w:val="0"/>
              <w:rPr>
                <w:rFonts w:eastAsia="MS Mincho" w:cs="Arial"/>
                <w:b/>
                <w:color w:val="FFFFFF" w:themeColor="background1"/>
                <w:szCs w:val="22"/>
              </w:rPr>
            </w:pPr>
            <w:r w:rsidRPr="00D265E2">
              <w:rPr>
                <w:rFonts w:eastAsia="MS Mincho" w:cs="Arial"/>
                <w:b/>
                <w:color w:val="FFFFFF" w:themeColor="background1"/>
                <w:szCs w:val="22"/>
              </w:rPr>
              <w:t>Type</w:t>
            </w:r>
          </w:p>
        </w:tc>
        <w:tc>
          <w:tcPr>
            <w:tcW w:w="4147" w:type="dxa"/>
          </w:tcPr>
          <w:p w14:paraId="00CF9A37" w14:textId="77777777" w:rsidR="00D2565A" w:rsidRPr="00D265E2" w:rsidRDefault="00D2565A" w:rsidP="00EF75ED">
            <w:pPr>
              <w:autoSpaceDE w:val="0"/>
              <w:autoSpaceDN w:val="0"/>
              <w:adjustRightInd w:val="0"/>
              <w:rPr>
                <w:rFonts w:eastAsia="MS Mincho" w:cs="Arial"/>
                <w:b/>
                <w:color w:val="FFFFFF" w:themeColor="background1"/>
                <w:szCs w:val="22"/>
              </w:rPr>
            </w:pPr>
            <w:r w:rsidRPr="00D265E2">
              <w:rPr>
                <w:rFonts w:eastAsia="MS Mincho" w:cs="Arial"/>
                <w:b/>
                <w:color w:val="FFFFFF" w:themeColor="background1"/>
                <w:szCs w:val="22"/>
              </w:rPr>
              <w:t>Description</w:t>
            </w:r>
          </w:p>
        </w:tc>
      </w:tr>
      <w:tr w:rsidR="00D2565A" w:rsidRPr="003F5472" w14:paraId="053977A7" w14:textId="77777777" w:rsidTr="00D265E2">
        <w:tc>
          <w:tcPr>
            <w:tcW w:w="1773" w:type="dxa"/>
          </w:tcPr>
          <w:p w14:paraId="5AE7148A" w14:textId="77777777" w:rsidR="00D2565A" w:rsidRPr="003F5472" w:rsidRDefault="00D2565A" w:rsidP="00EF75ED">
            <w:pPr>
              <w:autoSpaceDE w:val="0"/>
              <w:autoSpaceDN w:val="0"/>
              <w:adjustRightInd w:val="0"/>
              <w:rPr>
                <w:rFonts w:eastAsia="MS Mincho" w:cs="Arial"/>
                <w:i/>
                <w:szCs w:val="22"/>
              </w:rPr>
            </w:pPr>
            <w:r w:rsidRPr="003F5472">
              <w:rPr>
                <w:rFonts w:eastAsia="MS Mincho" w:cs="Arial"/>
                <w:i/>
                <w:szCs w:val="22"/>
              </w:rPr>
              <w:t>B</w:t>
            </w:r>
            <w:r w:rsidRPr="00C8288C">
              <w:rPr>
                <w:rFonts w:eastAsia="MS Mincho" w:cs="Arial"/>
                <w:i/>
                <w:szCs w:val="22"/>
                <w:vertAlign w:val="subscript"/>
              </w:rPr>
              <w:t>y</w:t>
            </w:r>
            <w:r w:rsidRPr="003F5472">
              <w:rPr>
                <w:rFonts w:eastAsia="MS Mincho" w:cs="Arial"/>
                <w:i/>
                <w:szCs w:val="22"/>
              </w:rPr>
              <w:t xml:space="preserve"> (net</w:t>
            </w:r>
            <w:r>
              <w:rPr>
                <w:rFonts w:eastAsia="MS Mincho" w:cs="Arial"/>
                <w:i/>
                <w:szCs w:val="22"/>
              </w:rPr>
              <w:t xml:space="preserve"> </w:t>
            </w:r>
            <w:r w:rsidRPr="003F5472">
              <w:rPr>
                <w:rFonts w:eastAsia="MS Mincho" w:cs="Arial"/>
                <w:i/>
                <w:szCs w:val="22"/>
              </w:rPr>
              <w:t>per</w:t>
            </w:r>
            <w:r>
              <w:rPr>
                <w:rFonts w:eastAsia="MS Mincho" w:cs="Arial"/>
                <w:i/>
                <w:szCs w:val="22"/>
              </w:rPr>
              <w:t xml:space="preserve"> </w:t>
            </w:r>
            <w:r w:rsidRPr="003F5472">
              <w:rPr>
                <w:rFonts w:eastAsia="MS Mincho" w:cs="Arial"/>
                <w:i/>
                <w:szCs w:val="22"/>
              </w:rPr>
              <w:t>unit)</w:t>
            </w:r>
          </w:p>
        </w:tc>
        <w:tc>
          <w:tcPr>
            <w:tcW w:w="2516" w:type="dxa"/>
          </w:tcPr>
          <w:p w14:paraId="6E0BCF0B" w14:textId="77777777" w:rsidR="00D2565A" w:rsidRPr="003F5472" w:rsidRDefault="00D2565A" w:rsidP="00EF75ED">
            <w:pPr>
              <w:autoSpaceDE w:val="0"/>
              <w:autoSpaceDN w:val="0"/>
              <w:adjustRightInd w:val="0"/>
              <w:rPr>
                <w:rFonts w:eastAsia="MS Mincho" w:cs="Arial"/>
                <w:szCs w:val="22"/>
              </w:rPr>
            </w:pPr>
            <w:r>
              <w:rPr>
                <w:rFonts w:eastAsia="MS Mincho" w:cs="Arial"/>
                <w:szCs w:val="22"/>
              </w:rPr>
              <w:t>Tons</w:t>
            </w:r>
            <w:r w:rsidRPr="003F5472">
              <w:rPr>
                <w:rFonts w:eastAsia="MS Mincho" w:cs="Arial"/>
                <w:szCs w:val="22"/>
              </w:rPr>
              <w:t>/year/household</w:t>
            </w:r>
          </w:p>
        </w:tc>
        <w:tc>
          <w:tcPr>
            <w:tcW w:w="1193" w:type="dxa"/>
          </w:tcPr>
          <w:p w14:paraId="5612BBD3" w14:textId="77777777" w:rsidR="00D2565A" w:rsidRPr="003F5472" w:rsidRDefault="00D2565A" w:rsidP="00EF75ED">
            <w:pPr>
              <w:autoSpaceDE w:val="0"/>
              <w:autoSpaceDN w:val="0"/>
              <w:adjustRightInd w:val="0"/>
              <w:rPr>
                <w:rFonts w:eastAsia="MS Mincho" w:cs="Arial"/>
                <w:szCs w:val="22"/>
              </w:rPr>
            </w:pPr>
            <w:r w:rsidRPr="003F5472">
              <w:rPr>
                <w:rFonts w:eastAsia="MS Mincho" w:cs="Arial"/>
                <w:szCs w:val="22"/>
              </w:rPr>
              <w:t>Fixed</w:t>
            </w:r>
          </w:p>
        </w:tc>
        <w:tc>
          <w:tcPr>
            <w:tcW w:w="4147" w:type="dxa"/>
          </w:tcPr>
          <w:p w14:paraId="27BC7DF9" w14:textId="77777777" w:rsidR="00D2565A" w:rsidRPr="003F5472" w:rsidRDefault="00D2565A" w:rsidP="00EF75ED">
            <w:pPr>
              <w:pStyle w:val="Default"/>
              <w:rPr>
                <w:rFonts w:eastAsia="Times New Roman"/>
                <w:sz w:val="22"/>
                <w:szCs w:val="22"/>
              </w:rPr>
            </w:pPr>
            <w:r w:rsidRPr="00120569">
              <w:rPr>
                <w:rFonts w:eastAsia="Times New Roman"/>
                <w:color w:val="515151" w:themeColor="text1"/>
                <w:sz w:val="22"/>
                <w:szCs w:val="22"/>
              </w:rPr>
              <w:t>Quantity of fuelwood and woodfuel consumption for charcoal that is substituted or displaced in tons (including potential leakage)</w:t>
            </w:r>
          </w:p>
        </w:tc>
      </w:tr>
      <w:tr w:rsidR="00D2565A" w:rsidRPr="003F5472" w14:paraId="0A16B1E4" w14:textId="77777777" w:rsidTr="00D265E2">
        <w:tc>
          <w:tcPr>
            <w:tcW w:w="1773" w:type="dxa"/>
          </w:tcPr>
          <w:p w14:paraId="08AFEC02" w14:textId="77777777" w:rsidR="00D2565A" w:rsidRPr="003F5472" w:rsidRDefault="00D2565A" w:rsidP="00EF75ED">
            <w:pPr>
              <w:autoSpaceDE w:val="0"/>
              <w:autoSpaceDN w:val="0"/>
              <w:adjustRightInd w:val="0"/>
              <w:rPr>
                <w:rFonts w:eastAsia="MS Mincho" w:cs="Arial"/>
                <w:i/>
                <w:szCs w:val="22"/>
              </w:rPr>
            </w:pPr>
            <w:r w:rsidRPr="003F5472">
              <w:rPr>
                <w:rFonts w:eastAsia="MS Mincho" w:cs="Arial"/>
                <w:i/>
                <w:szCs w:val="22"/>
              </w:rPr>
              <w:t>B</w:t>
            </w:r>
            <w:r w:rsidRPr="00C8288C">
              <w:rPr>
                <w:rFonts w:eastAsia="MS Mincho" w:cs="Arial"/>
                <w:i/>
                <w:szCs w:val="22"/>
                <w:vertAlign w:val="subscript"/>
              </w:rPr>
              <w:t>y</w:t>
            </w:r>
            <w:r w:rsidRPr="003F5472">
              <w:rPr>
                <w:rFonts w:eastAsia="MS Mincho" w:cs="Arial"/>
                <w:i/>
                <w:szCs w:val="22"/>
              </w:rPr>
              <w:t xml:space="preserve"> (gross</w:t>
            </w:r>
            <w:r>
              <w:rPr>
                <w:rFonts w:eastAsia="MS Mincho" w:cs="Arial"/>
                <w:i/>
                <w:szCs w:val="22"/>
              </w:rPr>
              <w:t xml:space="preserve"> </w:t>
            </w:r>
            <w:r w:rsidRPr="003F5472">
              <w:rPr>
                <w:rFonts w:eastAsia="MS Mincho" w:cs="Arial"/>
                <w:i/>
                <w:szCs w:val="22"/>
              </w:rPr>
              <w:t>per</w:t>
            </w:r>
            <w:r>
              <w:rPr>
                <w:rFonts w:eastAsia="MS Mincho" w:cs="Arial"/>
                <w:i/>
                <w:szCs w:val="22"/>
              </w:rPr>
              <w:t xml:space="preserve"> </w:t>
            </w:r>
            <w:r w:rsidRPr="003F5472">
              <w:rPr>
                <w:rFonts w:eastAsia="MS Mincho" w:cs="Arial"/>
                <w:i/>
                <w:szCs w:val="22"/>
              </w:rPr>
              <w:t>unit)</w:t>
            </w:r>
          </w:p>
        </w:tc>
        <w:tc>
          <w:tcPr>
            <w:tcW w:w="2516" w:type="dxa"/>
          </w:tcPr>
          <w:p w14:paraId="5FFDADE4" w14:textId="77777777" w:rsidR="00D2565A" w:rsidRPr="003F5472" w:rsidRDefault="00D2565A" w:rsidP="00EF75ED">
            <w:pPr>
              <w:autoSpaceDE w:val="0"/>
              <w:autoSpaceDN w:val="0"/>
              <w:adjustRightInd w:val="0"/>
              <w:rPr>
                <w:rFonts w:eastAsia="MS Mincho" w:cs="Arial"/>
                <w:szCs w:val="22"/>
              </w:rPr>
            </w:pPr>
            <w:r>
              <w:rPr>
                <w:rFonts w:eastAsia="MS Mincho" w:cs="Arial"/>
                <w:szCs w:val="22"/>
              </w:rPr>
              <w:t>Tons</w:t>
            </w:r>
            <w:r w:rsidRPr="003F5472">
              <w:rPr>
                <w:rFonts w:eastAsia="MS Mincho" w:cs="Arial"/>
                <w:szCs w:val="22"/>
              </w:rPr>
              <w:t>/year/household</w:t>
            </w:r>
          </w:p>
        </w:tc>
        <w:tc>
          <w:tcPr>
            <w:tcW w:w="1193" w:type="dxa"/>
          </w:tcPr>
          <w:p w14:paraId="2204E144" w14:textId="77777777" w:rsidR="00D2565A" w:rsidRPr="003F5472" w:rsidRDefault="00D2565A" w:rsidP="00EF75ED">
            <w:pPr>
              <w:autoSpaceDE w:val="0"/>
              <w:autoSpaceDN w:val="0"/>
              <w:adjustRightInd w:val="0"/>
              <w:rPr>
                <w:rFonts w:eastAsia="MS Mincho" w:cs="Arial"/>
                <w:szCs w:val="22"/>
              </w:rPr>
            </w:pPr>
            <w:r w:rsidRPr="003F5472">
              <w:rPr>
                <w:rFonts w:eastAsia="MS Mincho" w:cs="Arial"/>
                <w:szCs w:val="22"/>
              </w:rPr>
              <w:t>Fixed</w:t>
            </w:r>
          </w:p>
        </w:tc>
        <w:tc>
          <w:tcPr>
            <w:tcW w:w="4147" w:type="dxa"/>
          </w:tcPr>
          <w:p w14:paraId="3042B496" w14:textId="77777777" w:rsidR="00D2565A" w:rsidRPr="003F5472" w:rsidRDefault="00D2565A" w:rsidP="00EF75ED">
            <w:pPr>
              <w:autoSpaceDE w:val="0"/>
              <w:autoSpaceDN w:val="0"/>
              <w:adjustRightInd w:val="0"/>
              <w:rPr>
                <w:rFonts w:eastAsia="MS Mincho" w:cs="Arial"/>
                <w:szCs w:val="22"/>
              </w:rPr>
            </w:pPr>
            <w:r w:rsidRPr="003F5472">
              <w:rPr>
                <w:rFonts w:cs="Arial"/>
                <w:szCs w:val="22"/>
              </w:rPr>
              <w:t xml:space="preserve">Quantity of fuelwood and woodfuel consumption for charcoal that is substituted or displaced in </w:t>
            </w:r>
            <w:r>
              <w:rPr>
                <w:rFonts w:cs="Arial"/>
                <w:szCs w:val="22"/>
              </w:rPr>
              <w:t>tons</w:t>
            </w:r>
          </w:p>
        </w:tc>
      </w:tr>
      <w:tr w:rsidR="00D2565A" w:rsidRPr="003F5472" w14:paraId="702E8DBD" w14:textId="77777777" w:rsidTr="00D265E2">
        <w:tc>
          <w:tcPr>
            <w:tcW w:w="1773" w:type="dxa"/>
          </w:tcPr>
          <w:p w14:paraId="23B331AD" w14:textId="77777777" w:rsidR="00D2565A" w:rsidRPr="003F5472" w:rsidRDefault="00D2565A" w:rsidP="00EF75ED">
            <w:pPr>
              <w:autoSpaceDE w:val="0"/>
              <w:autoSpaceDN w:val="0"/>
              <w:adjustRightInd w:val="0"/>
              <w:rPr>
                <w:rFonts w:eastAsia="MS Mincho" w:cs="Arial"/>
                <w:szCs w:val="22"/>
              </w:rPr>
            </w:pPr>
            <w:r w:rsidRPr="003F5472">
              <w:rPr>
                <w:rFonts w:eastAsia="MS Mincho" w:cs="Arial"/>
                <w:szCs w:val="22"/>
              </w:rPr>
              <w:t>LE</w:t>
            </w:r>
            <w:r w:rsidRPr="003F5472">
              <w:rPr>
                <w:rFonts w:eastAsia="MS Mincho" w:cs="Arial"/>
                <w:szCs w:val="22"/>
                <w:vertAlign w:val="subscript"/>
              </w:rPr>
              <w:t>NRB</w:t>
            </w:r>
          </w:p>
        </w:tc>
        <w:tc>
          <w:tcPr>
            <w:tcW w:w="2516" w:type="dxa"/>
          </w:tcPr>
          <w:p w14:paraId="2C857604" w14:textId="77777777" w:rsidR="00D2565A" w:rsidRPr="003F5472" w:rsidRDefault="00D2565A" w:rsidP="00EF75ED">
            <w:pPr>
              <w:autoSpaceDE w:val="0"/>
              <w:autoSpaceDN w:val="0"/>
              <w:adjustRightInd w:val="0"/>
              <w:rPr>
                <w:rFonts w:eastAsia="MS Mincho" w:cs="Arial"/>
                <w:szCs w:val="22"/>
              </w:rPr>
            </w:pPr>
            <w:r w:rsidRPr="003F5472">
              <w:rPr>
                <w:rFonts w:eastAsia="MS Mincho" w:cs="Arial"/>
                <w:szCs w:val="22"/>
              </w:rPr>
              <w:t>-</w:t>
            </w:r>
          </w:p>
        </w:tc>
        <w:tc>
          <w:tcPr>
            <w:tcW w:w="1193" w:type="dxa"/>
          </w:tcPr>
          <w:p w14:paraId="170D4BD3" w14:textId="77777777" w:rsidR="00D2565A" w:rsidRPr="003F5472" w:rsidRDefault="00D2565A" w:rsidP="00EF75ED">
            <w:pPr>
              <w:autoSpaceDE w:val="0"/>
              <w:autoSpaceDN w:val="0"/>
              <w:adjustRightInd w:val="0"/>
              <w:rPr>
                <w:rFonts w:eastAsia="MS Mincho" w:cs="Arial"/>
                <w:szCs w:val="22"/>
              </w:rPr>
            </w:pPr>
            <w:r w:rsidRPr="003F5472">
              <w:rPr>
                <w:rFonts w:eastAsia="MS Mincho" w:cs="Arial"/>
                <w:szCs w:val="22"/>
              </w:rPr>
              <w:t xml:space="preserve">Fixed </w:t>
            </w:r>
          </w:p>
        </w:tc>
        <w:tc>
          <w:tcPr>
            <w:tcW w:w="4147" w:type="dxa"/>
          </w:tcPr>
          <w:p w14:paraId="7422A55B" w14:textId="77777777" w:rsidR="00D2565A" w:rsidRPr="003F5472" w:rsidRDefault="00D2565A" w:rsidP="00EF75ED">
            <w:pPr>
              <w:autoSpaceDE w:val="0"/>
              <w:autoSpaceDN w:val="0"/>
              <w:adjustRightInd w:val="0"/>
              <w:rPr>
                <w:rFonts w:eastAsia="MS Mincho" w:cs="Arial"/>
                <w:szCs w:val="22"/>
              </w:rPr>
            </w:pPr>
            <w:r w:rsidRPr="003F5472">
              <w:rPr>
                <w:rFonts w:eastAsia="MS Mincho" w:cs="Arial"/>
                <w:szCs w:val="22"/>
              </w:rPr>
              <w:t>0.95 default value</w:t>
            </w:r>
          </w:p>
        </w:tc>
      </w:tr>
    </w:tbl>
    <w:p w14:paraId="40EB7011" w14:textId="14A29933" w:rsidR="00D2565A" w:rsidRDefault="00D2565A" w:rsidP="00D2565A">
      <w:pPr>
        <w:rPr>
          <w:rFonts w:eastAsia="MS Mincho" w:cs="Arial"/>
          <w:b/>
        </w:rPr>
      </w:pPr>
    </w:p>
    <w:p w14:paraId="23371724" w14:textId="75287C2E" w:rsidR="00D2565A" w:rsidRDefault="00D2565A" w:rsidP="00D2565A">
      <w:pPr>
        <w:spacing w:after="240"/>
        <w:rPr>
          <w:rFonts w:eastAsia="MS Mincho" w:cs="Arial"/>
          <w:b/>
        </w:rPr>
      </w:pPr>
      <w:r>
        <w:rPr>
          <w:rFonts w:eastAsia="MS Mincho" w:cs="Arial"/>
          <w:b/>
        </w:rPr>
        <w:t>M</w:t>
      </w:r>
      <w:r w:rsidR="00980BAF">
        <w:rPr>
          <w:rFonts w:eastAsia="MS Mincho" w:cs="Arial"/>
          <w:b/>
        </w:rPr>
        <w:t>onitoring Period 4</w:t>
      </w:r>
      <w:r>
        <w:rPr>
          <w:rFonts w:eastAsia="MS Mincho" w:cs="Arial"/>
          <w:b/>
        </w:rPr>
        <w:t xml:space="preserve"> (31/12/2018 – 30/12/2020):</w:t>
      </w:r>
    </w:p>
    <w:tbl>
      <w:tblPr>
        <w:tblStyle w:val="GSBoldTable"/>
        <w:tblW w:w="9629" w:type="dxa"/>
        <w:tblLook w:val="04A0" w:firstRow="1" w:lastRow="0" w:firstColumn="1" w:lastColumn="0" w:noHBand="0" w:noVBand="1"/>
      </w:tblPr>
      <w:tblGrid>
        <w:gridCol w:w="2496"/>
        <w:gridCol w:w="1185"/>
        <w:gridCol w:w="2981"/>
        <w:gridCol w:w="2967"/>
      </w:tblGrid>
      <w:tr w:rsidR="00D2565A" w:rsidRPr="003F5472" w14:paraId="243C324E" w14:textId="77777777" w:rsidTr="00D265E2">
        <w:trPr>
          <w:cnfStyle w:val="100000000000" w:firstRow="1" w:lastRow="0" w:firstColumn="0" w:lastColumn="0" w:oddVBand="0" w:evenVBand="0" w:oddHBand="0" w:evenHBand="0" w:firstRowFirstColumn="0" w:firstRowLastColumn="0" w:lastRowFirstColumn="0" w:lastRowLastColumn="0"/>
          <w:trHeight w:val="388"/>
        </w:trPr>
        <w:tc>
          <w:tcPr>
            <w:tcW w:w="2496" w:type="dxa"/>
            <w:noWrap/>
            <w:hideMark/>
          </w:tcPr>
          <w:p w14:paraId="137F8730" w14:textId="77777777" w:rsidR="00D2565A" w:rsidRPr="00A94141" w:rsidRDefault="00D2565A" w:rsidP="00EF75ED">
            <w:pPr>
              <w:rPr>
                <w:rFonts w:cs="Arial"/>
                <w:b/>
                <w:bCs/>
                <w:color w:val="FFFFFF" w:themeColor="background1"/>
                <w:szCs w:val="22"/>
                <w:lang w:val="de-DE"/>
              </w:rPr>
            </w:pPr>
            <w:r w:rsidRPr="00A94141">
              <w:rPr>
                <w:rFonts w:cs="Arial"/>
                <w:b/>
                <w:bCs/>
                <w:color w:val="FFFFFF" w:themeColor="background1"/>
                <w:szCs w:val="22"/>
                <w:lang w:val="de-DE"/>
              </w:rPr>
              <w:t>Parameter</w:t>
            </w:r>
          </w:p>
        </w:tc>
        <w:tc>
          <w:tcPr>
            <w:tcW w:w="1185" w:type="dxa"/>
            <w:noWrap/>
            <w:hideMark/>
          </w:tcPr>
          <w:p w14:paraId="1E71FE60" w14:textId="77777777" w:rsidR="00D2565A" w:rsidRPr="00A94141" w:rsidRDefault="00D2565A" w:rsidP="00EF75ED">
            <w:pPr>
              <w:jc w:val="center"/>
              <w:rPr>
                <w:rFonts w:cs="Arial"/>
                <w:b/>
                <w:bCs/>
                <w:color w:val="FFFFFF" w:themeColor="background1"/>
                <w:szCs w:val="22"/>
                <w:lang w:val="de-DE"/>
              </w:rPr>
            </w:pPr>
            <w:r w:rsidRPr="00A94141">
              <w:rPr>
                <w:rFonts w:cs="Arial"/>
                <w:b/>
                <w:bCs/>
                <w:color w:val="FFFFFF" w:themeColor="background1"/>
                <w:szCs w:val="22"/>
                <w:lang w:val="de-DE"/>
              </w:rPr>
              <w:t>Unit</w:t>
            </w:r>
          </w:p>
        </w:tc>
        <w:tc>
          <w:tcPr>
            <w:tcW w:w="2981" w:type="dxa"/>
            <w:hideMark/>
          </w:tcPr>
          <w:p w14:paraId="16387CB9" w14:textId="77777777" w:rsidR="00D2565A" w:rsidRPr="00A94141" w:rsidRDefault="00D2565A" w:rsidP="00EF75ED">
            <w:pPr>
              <w:jc w:val="center"/>
              <w:rPr>
                <w:rFonts w:cs="Arial"/>
                <w:b/>
                <w:bCs/>
                <w:color w:val="FFFFFF" w:themeColor="background1"/>
                <w:szCs w:val="22"/>
                <w:lang w:val="de-DE"/>
              </w:rPr>
            </w:pPr>
            <w:r w:rsidRPr="00A94141">
              <w:rPr>
                <w:rFonts w:cs="Arial"/>
                <w:b/>
                <w:bCs/>
                <w:color w:val="FFFFFF" w:themeColor="background1"/>
                <w:szCs w:val="22"/>
                <w:lang w:val="de-DE"/>
              </w:rPr>
              <w:t>31/12/2018 – 30/12/2020</w:t>
            </w:r>
          </w:p>
        </w:tc>
        <w:tc>
          <w:tcPr>
            <w:tcW w:w="2967" w:type="dxa"/>
            <w:noWrap/>
            <w:hideMark/>
          </w:tcPr>
          <w:p w14:paraId="10158280" w14:textId="77777777" w:rsidR="00D2565A" w:rsidRPr="00A94141" w:rsidRDefault="00D2565A" w:rsidP="00EF75ED">
            <w:pPr>
              <w:rPr>
                <w:rFonts w:cs="Arial"/>
                <w:b/>
                <w:bCs/>
                <w:color w:val="FFFFFF" w:themeColor="background1"/>
                <w:szCs w:val="22"/>
                <w:lang w:val="de-DE"/>
              </w:rPr>
            </w:pPr>
            <w:r w:rsidRPr="00A94141">
              <w:rPr>
                <w:rFonts w:cs="Arial"/>
                <w:b/>
                <w:bCs/>
                <w:color w:val="FFFFFF" w:themeColor="background1"/>
                <w:szCs w:val="22"/>
                <w:lang w:val="de-DE"/>
              </w:rPr>
              <w:t>Sources</w:t>
            </w:r>
          </w:p>
        </w:tc>
      </w:tr>
      <w:tr w:rsidR="00D2565A" w:rsidRPr="00CE5BA2" w14:paraId="52835592" w14:textId="77777777" w:rsidTr="00D265E2">
        <w:trPr>
          <w:trHeight w:val="340"/>
        </w:trPr>
        <w:tc>
          <w:tcPr>
            <w:tcW w:w="2496" w:type="dxa"/>
            <w:noWrap/>
            <w:hideMark/>
          </w:tcPr>
          <w:p w14:paraId="3462B0F4" w14:textId="77777777" w:rsidR="00D2565A" w:rsidRPr="00120569" w:rsidRDefault="00D2565A" w:rsidP="00EF75ED">
            <w:pPr>
              <w:rPr>
                <w:rFonts w:cs="Arial"/>
                <w:color w:val="515151" w:themeColor="text1"/>
                <w:szCs w:val="22"/>
                <w:lang w:val="de-DE"/>
              </w:rPr>
            </w:pPr>
            <w:r w:rsidRPr="00120569">
              <w:rPr>
                <w:rFonts w:cs="Arial"/>
                <w:color w:val="515151" w:themeColor="text1"/>
                <w:szCs w:val="22"/>
                <w:lang w:val="de-DE"/>
              </w:rPr>
              <w:t>B</w:t>
            </w:r>
            <w:r w:rsidRPr="00120569">
              <w:rPr>
                <w:rFonts w:cs="Arial"/>
                <w:color w:val="515151" w:themeColor="text1"/>
                <w:szCs w:val="22"/>
                <w:vertAlign w:val="subscript"/>
                <w:lang w:val="de-DE"/>
              </w:rPr>
              <w:t>y</w:t>
            </w:r>
            <w:r w:rsidRPr="00120569">
              <w:rPr>
                <w:rFonts w:cs="Arial"/>
                <w:color w:val="515151" w:themeColor="text1"/>
                <w:szCs w:val="22"/>
                <w:lang w:val="de-DE"/>
              </w:rPr>
              <w:t xml:space="preserve"> (gross per unit)</w:t>
            </w:r>
          </w:p>
        </w:tc>
        <w:tc>
          <w:tcPr>
            <w:tcW w:w="1185" w:type="dxa"/>
            <w:noWrap/>
            <w:hideMark/>
          </w:tcPr>
          <w:p w14:paraId="492B5995" w14:textId="77777777" w:rsidR="00D2565A" w:rsidRPr="00120569" w:rsidRDefault="00D2565A" w:rsidP="00EF75ED">
            <w:pPr>
              <w:jc w:val="center"/>
              <w:rPr>
                <w:rFonts w:cs="Arial"/>
                <w:color w:val="515151" w:themeColor="text1"/>
                <w:szCs w:val="22"/>
                <w:lang w:val="de-DE"/>
              </w:rPr>
            </w:pPr>
            <w:r w:rsidRPr="00120569">
              <w:rPr>
                <w:rFonts w:cs="Arial"/>
                <w:color w:val="515151" w:themeColor="text1"/>
                <w:szCs w:val="22"/>
                <w:lang w:val="de-DE"/>
              </w:rPr>
              <w:t>t/a</w:t>
            </w:r>
          </w:p>
        </w:tc>
        <w:tc>
          <w:tcPr>
            <w:tcW w:w="2981" w:type="dxa"/>
            <w:noWrap/>
            <w:hideMark/>
          </w:tcPr>
          <w:p w14:paraId="1F1873E9" w14:textId="77777777" w:rsidR="00D2565A" w:rsidRPr="00120569" w:rsidRDefault="00D2565A" w:rsidP="00EF75ED">
            <w:pPr>
              <w:jc w:val="center"/>
              <w:rPr>
                <w:rFonts w:cs="Arial"/>
                <w:color w:val="515151" w:themeColor="text1"/>
                <w:szCs w:val="22"/>
              </w:rPr>
            </w:pPr>
            <w:r w:rsidRPr="00120569">
              <w:rPr>
                <w:rFonts w:cs="Arial"/>
                <w:color w:val="515151" w:themeColor="text1"/>
                <w:szCs w:val="22"/>
              </w:rPr>
              <w:t>4.482</w:t>
            </w:r>
          </w:p>
        </w:tc>
        <w:tc>
          <w:tcPr>
            <w:tcW w:w="2967" w:type="dxa"/>
            <w:noWrap/>
            <w:hideMark/>
          </w:tcPr>
          <w:p w14:paraId="08236FC4" w14:textId="77777777" w:rsidR="00D2565A" w:rsidRPr="00120569" w:rsidRDefault="00D2565A" w:rsidP="00EF75ED">
            <w:pPr>
              <w:rPr>
                <w:rFonts w:cs="Arial"/>
                <w:color w:val="515151" w:themeColor="text1"/>
                <w:szCs w:val="22"/>
              </w:rPr>
            </w:pPr>
            <w:r w:rsidRPr="00120569">
              <w:rPr>
                <w:rFonts w:cs="Arial"/>
                <w:color w:val="515151" w:themeColor="text1"/>
                <w:szCs w:val="22"/>
              </w:rPr>
              <w:t>Fixed ex-ante - PDD</w:t>
            </w:r>
          </w:p>
        </w:tc>
      </w:tr>
      <w:tr w:rsidR="00D2565A" w:rsidRPr="003F5472" w14:paraId="3C0EAE35" w14:textId="77777777" w:rsidTr="00D265E2">
        <w:trPr>
          <w:trHeight w:val="340"/>
        </w:trPr>
        <w:tc>
          <w:tcPr>
            <w:tcW w:w="2496" w:type="dxa"/>
            <w:noWrap/>
            <w:hideMark/>
          </w:tcPr>
          <w:p w14:paraId="137691B1" w14:textId="77777777" w:rsidR="00D2565A" w:rsidRPr="00120569" w:rsidRDefault="00D2565A" w:rsidP="00EF75ED">
            <w:pPr>
              <w:rPr>
                <w:rFonts w:cs="Arial"/>
                <w:color w:val="515151" w:themeColor="text1"/>
                <w:szCs w:val="22"/>
              </w:rPr>
            </w:pPr>
            <w:r w:rsidRPr="00120569">
              <w:rPr>
                <w:rFonts w:cs="Arial"/>
                <w:color w:val="515151" w:themeColor="text1"/>
                <w:szCs w:val="22"/>
              </w:rPr>
              <w:t>LE</w:t>
            </w:r>
            <w:r w:rsidRPr="00120569">
              <w:rPr>
                <w:rFonts w:cs="Arial"/>
                <w:color w:val="515151" w:themeColor="text1"/>
                <w:szCs w:val="22"/>
                <w:vertAlign w:val="subscript"/>
              </w:rPr>
              <w:t>NRB</w:t>
            </w:r>
          </w:p>
        </w:tc>
        <w:tc>
          <w:tcPr>
            <w:tcW w:w="1185" w:type="dxa"/>
            <w:noWrap/>
            <w:hideMark/>
          </w:tcPr>
          <w:p w14:paraId="46BFEA00" w14:textId="77777777" w:rsidR="00D2565A" w:rsidRPr="00120569" w:rsidRDefault="00D2565A" w:rsidP="00EF75ED">
            <w:pPr>
              <w:jc w:val="center"/>
              <w:rPr>
                <w:rFonts w:cs="Arial"/>
                <w:color w:val="515151" w:themeColor="text1"/>
                <w:szCs w:val="22"/>
              </w:rPr>
            </w:pPr>
            <w:r w:rsidRPr="00120569">
              <w:rPr>
                <w:rFonts w:cs="Arial"/>
                <w:color w:val="515151" w:themeColor="text1"/>
                <w:szCs w:val="22"/>
              </w:rPr>
              <w:t>-</w:t>
            </w:r>
          </w:p>
        </w:tc>
        <w:tc>
          <w:tcPr>
            <w:tcW w:w="2981" w:type="dxa"/>
            <w:noWrap/>
            <w:hideMark/>
          </w:tcPr>
          <w:p w14:paraId="4B80CC67" w14:textId="77777777" w:rsidR="00D2565A" w:rsidRPr="00120569" w:rsidRDefault="00D2565A" w:rsidP="00EF75ED">
            <w:pPr>
              <w:jc w:val="center"/>
              <w:rPr>
                <w:rFonts w:cs="Arial"/>
                <w:color w:val="515151" w:themeColor="text1"/>
                <w:szCs w:val="22"/>
              </w:rPr>
            </w:pPr>
            <w:r w:rsidRPr="00120569">
              <w:rPr>
                <w:rFonts w:cs="Arial"/>
                <w:color w:val="515151" w:themeColor="text1"/>
                <w:szCs w:val="22"/>
              </w:rPr>
              <w:t>0.95</w:t>
            </w:r>
          </w:p>
        </w:tc>
        <w:tc>
          <w:tcPr>
            <w:tcW w:w="2967" w:type="dxa"/>
            <w:noWrap/>
            <w:hideMark/>
          </w:tcPr>
          <w:p w14:paraId="272E736C" w14:textId="77777777" w:rsidR="00D2565A" w:rsidRPr="00120569" w:rsidRDefault="00D2565A" w:rsidP="00EF75ED">
            <w:pPr>
              <w:rPr>
                <w:rFonts w:cs="Arial"/>
                <w:color w:val="515151" w:themeColor="text1"/>
                <w:szCs w:val="22"/>
              </w:rPr>
            </w:pPr>
            <w:r w:rsidRPr="00120569">
              <w:rPr>
                <w:rFonts w:cs="Arial"/>
                <w:color w:val="515151" w:themeColor="text1"/>
                <w:szCs w:val="22"/>
              </w:rPr>
              <w:t>Fixed - AMS I.E., ver. 4</w:t>
            </w:r>
          </w:p>
        </w:tc>
      </w:tr>
      <w:tr w:rsidR="00D2565A" w:rsidRPr="00CE5BA2" w14:paraId="433C68E2" w14:textId="77777777" w:rsidTr="00D265E2">
        <w:trPr>
          <w:trHeight w:val="340"/>
        </w:trPr>
        <w:tc>
          <w:tcPr>
            <w:tcW w:w="2496" w:type="dxa"/>
            <w:noWrap/>
            <w:hideMark/>
          </w:tcPr>
          <w:p w14:paraId="1A3DF508" w14:textId="77777777" w:rsidR="00D2565A" w:rsidRPr="00120569" w:rsidRDefault="00D2565A" w:rsidP="00EF75ED">
            <w:pPr>
              <w:rPr>
                <w:rFonts w:cs="Arial"/>
                <w:color w:val="515151" w:themeColor="text1"/>
                <w:szCs w:val="22"/>
              </w:rPr>
            </w:pPr>
            <w:r w:rsidRPr="00120569">
              <w:rPr>
                <w:rFonts w:cs="Arial"/>
                <w:color w:val="515151" w:themeColor="text1"/>
                <w:szCs w:val="22"/>
              </w:rPr>
              <w:t>B</w:t>
            </w:r>
            <w:r w:rsidRPr="00120569">
              <w:rPr>
                <w:rFonts w:cs="Arial"/>
                <w:color w:val="515151" w:themeColor="text1"/>
                <w:szCs w:val="22"/>
                <w:vertAlign w:val="subscript"/>
              </w:rPr>
              <w:t>y</w:t>
            </w:r>
            <w:r w:rsidRPr="00120569">
              <w:rPr>
                <w:rFonts w:cs="Arial"/>
                <w:color w:val="515151" w:themeColor="text1"/>
                <w:szCs w:val="22"/>
              </w:rPr>
              <w:t xml:space="preserve"> (net per unit)</w:t>
            </w:r>
          </w:p>
        </w:tc>
        <w:tc>
          <w:tcPr>
            <w:tcW w:w="1185" w:type="dxa"/>
            <w:noWrap/>
            <w:hideMark/>
          </w:tcPr>
          <w:p w14:paraId="55EDFC36" w14:textId="77777777" w:rsidR="00D2565A" w:rsidRPr="00120569" w:rsidRDefault="00D2565A" w:rsidP="00EF75ED">
            <w:pPr>
              <w:jc w:val="center"/>
              <w:rPr>
                <w:rFonts w:cs="Arial"/>
                <w:color w:val="515151" w:themeColor="text1"/>
                <w:szCs w:val="22"/>
              </w:rPr>
            </w:pPr>
            <w:r w:rsidRPr="00120569">
              <w:rPr>
                <w:rFonts w:cs="Arial"/>
                <w:color w:val="515151" w:themeColor="text1"/>
                <w:szCs w:val="22"/>
              </w:rPr>
              <w:t>t/a</w:t>
            </w:r>
          </w:p>
        </w:tc>
        <w:tc>
          <w:tcPr>
            <w:tcW w:w="2981" w:type="dxa"/>
            <w:noWrap/>
            <w:hideMark/>
          </w:tcPr>
          <w:p w14:paraId="25F18853" w14:textId="77777777" w:rsidR="00D2565A" w:rsidRPr="00120569" w:rsidRDefault="00D2565A" w:rsidP="00EF75ED">
            <w:pPr>
              <w:jc w:val="center"/>
              <w:rPr>
                <w:rFonts w:cs="Arial"/>
                <w:color w:val="515151" w:themeColor="text1"/>
                <w:szCs w:val="22"/>
              </w:rPr>
            </w:pPr>
            <w:r w:rsidRPr="00120569">
              <w:rPr>
                <w:rFonts w:cs="Arial"/>
                <w:color w:val="515151" w:themeColor="text1"/>
                <w:szCs w:val="22"/>
              </w:rPr>
              <w:t>4.257</w:t>
            </w:r>
          </w:p>
        </w:tc>
        <w:tc>
          <w:tcPr>
            <w:tcW w:w="2967" w:type="dxa"/>
            <w:noWrap/>
            <w:hideMark/>
          </w:tcPr>
          <w:p w14:paraId="3E07906D" w14:textId="77777777" w:rsidR="00D2565A" w:rsidRPr="00120569" w:rsidRDefault="00D2565A" w:rsidP="00EF75ED">
            <w:pPr>
              <w:rPr>
                <w:rFonts w:cs="Arial"/>
                <w:color w:val="515151" w:themeColor="text1"/>
                <w:szCs w:val="22"/>
              </w:rPr>
            </w:pPr>
            <w:r w:rsidRPr="00120569">
              <w:rPr>
                <w:rFonts w:cs="Arial"/>
                <w:color w:val="515151" w:themeColor="text1"/>
                <w:szCs w:val="22"/>
              </w:rPr>
              <w:t>Calculated</w:t>
            </w:r>
          </w:p>
        </w:tc>
      </w:tr>
      <w:tr w:rsidR="00D2565A" w:rsidRPr="00CE5BA2" w14:paraId="77D784DA" w14:textId="77777777" w:rsidTr="00D265E2">
        <w:trPr>
          <w:trHeight w:val="340"/>
        </w:trPr>
        <w:tc>
          <w:tcPr>
            <w:tcW w:w="2496" w:type="dxa"/>
            <w:noWrap/>
            <w:hideMark/>
          </w:tcPr>
          <w:p w14:paraId="7F908448" w14:textId="77777777" w:rsidR="00D2565A" w:rsidRPr="00120569" w:rsidRDefault="00D2565A" w:rsidP="00EF75ED">
            <w:pPr>
              <w:rPr>
                <w:rFonts w:cs="Arial"/>
                <w:color w:val="515151" w:themeColor="text1"/>
                <w:szCs w:val="22"/>
              </w:rPr>
            </w:pPr>
            <w:r w:rsidRPr="00120569">
              <w:rPr>
                <w:rFonts w:cs="Arial"/>
                <w:color w:val="515151" w:themeColor="text1"/>
                <w:szCs w:val="22"/>
              </w:rPr>
              <w:t>N</w:t>
            </w:r>
            <w:r w:rsidRPr="00120569">
              <w:rPr>
                <w:rFonts w:cs="Arial"/>
                <w:color w:val="515151" w:themeColor="text1"/>
                <w:szCs w:val="22"/>
                <w:vertAlign w:val="subscript"/>
              </w:rPr>
              <w:t>y</w:t>
            </w:r>
          </w:p>
        </w:tc>
        <w:tc>
          <w:tcPr>
            <w:tcW w:w="1185" w:type="dxa"/>
            <w:noWrap/>
            <w:hideMark/>
          </w:tcPr>
          <w:p w14:paraId="662FCAB8" w14:textId="77777777" w:rsidR="00D2565A" w:rsidRPr="00120569" w:rsidRDefault="00D2565A" w:rsidP="00EF75ED">
            <w:pPr>
              <w:jc w:val="center"/>
              <w:rPr>
                <w:rFonts w:cs="Arial"/>
                <w:color w:val="515151" w:themeColor="text1"/>
                <w:szCs w:val="22"/>
              </w:rPr>
            </w:pPr>
            <w:r w:rsidRPr="00120569">
              <w:rPr>
                <w:rFonts w:cs="Arial"/>
                <w:color w:val="515151" w:themeColor="text1"/>
                <w:szCs w:val="22"/>
              </w:rPr>
              <w:t>-</w:t>
            </w:r>
          </w:p>
        </w:tc>
        <w:tc>
          <w:tcPr>
            <w:tcW w:w="2981" w:type="dxa"/>
            <w:noWrap/>
            <w:hideMark/>
          </w:tcPr>
          <w:p w14:paraId="5280EBC1" w14:textId="5AA94C6F" w:rsidR="00D2565A" w:rsidRPr="00120569" w:rsidRDefault="00481573" w:rsidP="00EF75ED">
            <w:pPr>
              <w:jc w:val="center"/>
              <w:rPr>
                <w:rFonts w:cs="Arial"/>
                <w:color w:val="515151" w:themeColor="text1"/>
                <w:szCs w:val="22"/>
              </w:rPr>
            </w:pPr>
            <w:r>
              <w:rPr>
                <w:rFonts w:cs="Arial"/>
                <w:color w:val="515151" w:themeColor="text1"/>
                <w:szCs w:val="22"/>
              </w:rPr>
              <w:t>740</w:t>
            </w:r>
          </w:p>
        </w:tc>
        <w:tc>
          <w:tcPr>
            <w:tcW w:w="2967" w:type="dxa"/>
            <w:noWrap/>
            <w:hideMark/>
          </w:tcPr>
          <w:p w14:paraId="36E12F12" w14:textId="77777777" w:rsidR="00D2565A" w:rsidRPr="00120569" w:rsidRDefault="00D2565A" w:rsidP="00EF75ED">
            <w:pPr>
              <w:rPr>
                <w:rFonts w:cs="Arial"/>
                <w:color w:val="515151" w:themeColor="text1"/>
                <w:szCs w:val="22"/>
              </w:rPr>
            </w:pPr>
            <w:r w:rsidRPr="00120569">
              <w:rPr>
                <w:rFonts w:cs="Arial"/>
                <w:color w:val="515151" w:themeColor="text1"/>
                <w:szCs w:val="22"/>
              </w:rPr>
              <w:t>Calculated</w:t>
            </w:r>
          </w:p>
        </w:tc>
      </w:tr>
      <w:tr w:rsidR="00D2565A" w:rsidRPr="003F5472" w14:paraId="0090F8BF" w14:textId="77777777" w:rsidTr="00D265E2">
        <w:trPr>
          <w:trHeight w:val="340"/>
        </w:trPr>
        <w:tc>
          <w:tcPr>
            <w:tcW w:w="2496" w:type="dxa"/>
            <w:tcBorders>
              <w:bottom w:val="single" w:sz="4" w:space="0" w:color="BFBFBF" w:themeColor="background1" w:themeShade="BF"/>
            </w:tcBorders>
            <w:noWrap/>
            <w:hideMark/>
          </w:tcPr>
          <w:p w14:paraId="22108BB2" w14:textId="77777777" w:rsidR="00D2565A" w:rsidRPr="00120569" w:rsidRDefault="00D2565A" w:rsidP="00EF75ED">
            <w:pPr>
              <w:rPr>
                <w:rFonts w:cs="Arial"/>
                <w:color w:val="515151" w:themeColor="text1"/>
                <w:szCs w:val="22"/>
              </w:rPr>
            </w:pPr>
            <w:r w:rsidRPr="00120569">
              <w:rPr>
                <w:rFonts w:cs="Arial"/>
                <w:color w:val="515151" w:themeColor="text1"/>
                <w:szCs w:val="22"/>
              </w:rPr>
              <w:t>DO</w:t>
            </w:r>
            <w:r w:rsidRPr="00120569">
              <w:rPr>
                <w:rFonts w:cs="Arial"/>
                <w:color w:val="515151" w:themeColor="text1"/>
                <w:szCs w:val="22"/>
                <w:vertAlign w:val="subscript"/>
              </w:rPr>
              <w:t>y</w:t>
            </w:r>
          </w:p>
        </w:tc>
        <w:tc>
          <w:tcPr>
            <w:tcW w:w="1185" w:type="dxa"/>
            <w:tcBorders>
              <w:bottom w:val="single" w:sz="4" w:space="0" w:color="BFBFBF" w:themeColor="background1" w:themeShade="BF"/>
            </w:tcBorders>
            <w:noWrap/>
            <w:hideMark/>
          </w:tcPr>
          <w:p w14:paraId="6FCBDFBD" w14:textId="77777777" w:rsidR="00D2565A" w:rsidRPr="00120569" w:rsidRDefault="00D2565A" w:rsidP="00EF75ED">
            <w:pPr>
              <w:jc w:val="center"/>
              <w:rPr>
                <w:rFonts w:cs="Arial"/>
                <w:color w:val="515151" w:themeColor="text1"/>
                <w:szCs w:val="22"/>
              </w:rPr>
            </w:pPr>
            <w:r w:rsidRPr="00120569">
              <w:rPr>
                <w:rFonts w:cs="Arial"/>
                <w:color w:val="515151" w:themeColor="text1"/>
                <w:szCs w:val="22"/>
              </w:rPr>
              <w:t>%</w:t>
            </w:r>
          </w:p>
        </w:tc>
        <w:tc>
          <w:tcPr>
            <w:tcW w:w="2981" w:type="dxa"/>
            <w:tcBorders>
              <w:bottom w:val="single" w:sz="4" w:space="0" w:color="BFBFBF" w:themeColor="background1" w:themeShade="BF"/>
            </w:tcBorders>
            <w:noWrap/>
            <w:hideMark/>
          </w:tcPr>
          <w:p w14:paraId="7B5338B6" w14:textId="77777777" w:rsidR="00D2565A" w:rsidRPr="00120569" w:rsidRDefault="00D2565A" w:rsidP="00EF75ED">
            <w:pPr>
              <w:jc w:val="center"/>
              <w:rPr>
                <w:rFonts w:cs="Arial"/>
                <w:color w:val="515151" w:themeColor="text1"/>
                <w:szCs w:val="22"/>
                <w:lang w:val="de-DE"/>
              </w:rPr>
            </w:pPr>
            <w:r w:rsidRPr="00120569">
              <w:rPr>
                <w:rFonts w:cs="Arial"/>
                <w:color w:val="515151" w:themeColor="text1"/>
                <w:szCs w:val="22"/>
              </w:rPr>
              <w:t xml:space="preserve">0 </w:t>
            </w:r>
            <w:r w:rsidRPr="00120569">
              <w:rPr>
                <w:rFonts w:cs="Arial"/>
                <w:color w:val="515151" w:themeColor="text1"/>
                <w:szCs w:val="22"/>
                <w:lang w:val="de-DE"/>
              </w:rPr>
              <w:t>%</w:t>
            </w:r>
          </w:p>
        </w:tc>
        <w:tc>
          <w:tcPr>
            <w:tcW w:w="2967" w:type="dxa"/>
            <w:tcBorders>
              <w:bottom w:val="single" w:sz="4" w:space="0" w:color="BFBFBF" w:themeColor="background1" w:themeShade="BF"/>
            </w:tcBorders>
            <w:noWrap/>
            <w:hideMark/>
          </w:tcPr>
          <w:p w14:paraId="42B3A36A" w14:textId="77777777" w:rsidR="00D2565A" w:rsidRPr="00120569" w:rsidRDefault="00D2565A" w:rsidP="00EF75ED">
            <w:pPr>
              <w:rPr>
                <w:rFonts w:cs="Arial"/>
                <w:color w:val="515151" w:themeColor="text1"/>
                <w:szCs w:val="22"/>
                <w:lang w:val="de-DE"/>
              </w:rPr>
            </w:pPr>
            <w:r w:rsidRPr="00120569">
              <w:rPr>
                <w:rFonts w:cs="Arial"/>
                <w:color w:val="515151" w:themeColor="text1"/>
                <w:szCs w:val="22"/>
                <w:lang w:val="de-DE"/>
              </w:rPr>
              <w:t>Monitored</w:t>
            </w:r>
          </w:p>
        </w:tc>
      </w:tr>
      <w:tr w:rsidR="00D2565A" w:rsidRPr="003F5472" w14:paraId="1A98B4F0" w14:textId="77777777" w:rsidTr="00D265E2">
        <w:trPr>
          <w:trHeight w:val="340"/>
        </w:trPr>
        <w:tc>
          <w:tcPr>
            <w:tcW w:w="2496" w:type="dxa"/>
            <w:tcBorders>
              <w:top w:val="single" w:sz="4" w:space="0" w:color="BFBFBF" w:themeColor="background1" w:themeShade="BF"/>
              <w:bottom w:val="single" w:sz="4" w:space="0" w:color="auto"/>
            </w:tcBorders>
            <w:noWrap/>
          </w:tcPr>
          <w:p w14:paraId="54A365B1" w14:textId="77777777" w:rsidR="00D2565A" w:rsidRPr="00120569" w:rsidRDefault="00D2565A" w:rsidP="00EF75ED">
            <w:pPr>
              <w:rPr>
                <w:rFonts w:cs="Arial"/>
                <w:color w:val="515151" w:themeColor="text1"/>
                <w:szCs w:val="22"/>
              </w:rPr>
            </w:pPr>
            <w:r w:rsidRPr="00120569">
              <w:rPr>
                <w:rFonts w:cs="Arial"/>
                <w:color w:val="515151" w:themeColor="text1"/>
                <w:szCs w:val="22"/>
              </w:rPr>
              <w:t>Number of years in MP</w:t>
            </w:r>
          </w:p>
        </w:tc>
        <w:tc>
          <w:tcPr>
            <w:tcW w:w="1185" w:type="dxa"/>
            <w:tcBorders>
              <w:top w:val="single" w:sz="4" w:space="0" w:color="BFBFBF" w:themeColor="background1" w:themeShade="BF"/>
              <w:bottom w:val="single" w:sz="4" w:space="0" w:color="auto"/>
            </w:tcBorders>
            <w:noWrap/>
          </w:tcPr>
          <w:p w14:paraId="1B811AE2" w14:textId="77777777" w:rsidR="00D2565A" w:rsidRPr="00120569" w:rsidRDefault="00D2565A" w:rsidP="00EF75ED">
            <w:pPr>
              <w:jc w:val="center"/>
              <w:rPr>
                <w:rFonts w:cs="Arial"/>
                <w:color w:val="515151" w:themeColor="text1"/>
                <w:szCs w:val="22"/>
              </w:rPr>
            </w:pPr>
          </w:p>
        </w:tc>
        <w:tc>
          <w:tcPr>
            <w:tcW w:w="2981" w:type="dxa"/>
            <w:tcBorders>
              <w:top w:val="single" w:sz="4" w:space="0" w:color="BFBFBF" w:themeColor="background1" w:themeShade="BF"/>
              <w:bottom w:val="single" w:sz="4" w:space="0" w:color="auto"/>
            </w:tcBorders>
            <w:noWrap/>
          </w:tcPr>
          <w:p w14:paraId="42F11E67" w14:textId="77777777" w:rsidR="00D2565A" w:rsidRPr="00120569" w:rsidRDefault="00D2565A" w:rsidP="00EF75ED">
            <w:pPr>
              <w:jc w:val="center"/>
              <w:rPr>
                <w:rFonts w:cs="Arial"/>
                <w:color w:val="515151" w:themeColor="text1"/>
                <w:szCs w:val="22"/>
              </w:rPr>
            </w:pPr>
            <w:r w:rsidRPr="00120569">
              <w:rPr>
                <w:rFonts w:cs="Arial"/>
                <w:color w:val="515151" w:themeColor="text1"/>
                <w:szCs w:val="22"/>
              </w:rPr>
              <w:t>2</w:t>
            </w:r>
          </w:p>
        </w:tc>
        <w:tc>
          <w:tcPr>
            <w:tcW w:w="2967" w:type="dxa"/>
            <w:tcBorders>
              <w:top w:val="single" w:sz="4" w:space="0" w:color="BFBFBF" w:themeColor="background1" w:themeShade="BF"/>
              <w:bottom w:val="single" w:sz="4" w:space="0" w:color="auto"/>
            </w:tcBorders>
            <w:noWrap/>
          </w:tcPr>
          <w:p w14:paraId="37282824" w14:textId="77777777" w:rsidR="00D2565A" w:rsidRPr="00120569" w:rsidRDefault="00D2565A" w:rsidP="00EF75ED">
            <w:pPr>
              <w:rPr>
                <w:rFonts w:cs="Arial"/>
                <w:color w:val="515151" w:themeColor="text1"/>
                <w:szCs w:val="22"/>
              </w:rPr>
            </w:pPr>
          </w:p>
        </w:tc>
      </w:tr>
      <w:tr w:rsidR="00D2565A" w:rsidRPr="00CE5BA2" w14:paraId="1C0260E9" w14:textId="77777777" w:rsidTr="00D265E2">
        <w:trPr>
          <w:trHeight w:val="340"/>
        </w:trPr>
        <w:tc>
          <w:tcPr>
            <w:tcW w:w="2496" w:type="dxa"/>
            <w:tcBorders>
              <w:top w:val="single" w:sz="4" w:space="0" w:color="auto"/>
            </w:tcBorders>
            <w:noWrap/>
            <w:hideMark/>
          </w:tcPr>
          <w:p w14:paraId="6F621614" w14:textId="77777777" w:rsidR="00D2565A" w:rsidRPr="00120569" w:rsidRDefault="00D2565A" w:rsidP="00EF75ED">
            <w:pPr>
              <w:rPr>
                <w:rFonts w:cs="Arial"/>
                <w:color w:val="515151" w:themeColor="text1"/>
                <w:szCs w:val="22"/>
                <w:lang w:val="de-DE"/>
              </w:rPr>
            </w:pPr>
            <w:r w:rsidRPr="00120569">
              <w:rPr>
                <w:rFonts w:cs="Arial"/>
                <w:color w:val="515151" w:themeColor="text1"/>
                <w:szCs w:val="22"/>
                <w:lang w:val="de-DE"/>
              </w:rPr>
              <w:t>B</w:t>
            </w:r>
            <w:r w:rsidRPr="00120569">
              <w:rPr>
                <w:rFonts w:cs="Arial"/>
                <w:color w:val="515151" w:themeColor="text1"/>
                <w:szCs w:val="22"/>
                <w:vertAlign w:val="subscript"/>
                <w:lang w:val="de-DE"/>
              </w:rPr>
              <w:t>y</w:t>
            </w:r>
          </w:p>
        </w:tc>
        <w:tc>
          <w:tcPr>
            <w:tcW w:w="1185" w:type="dxa"/>
            <w:tcBorders>
              <w:top w:val="single" w:sz="4" w:space="0" w:color="auto"/>
            </w:tcBorders>
            <w:noWrap/>
            <w:hideMark/>
          </w:tcPr>
          <w:p w14:paraId="20F5F4A1" w14:textId="77777777" w:rsidR="00D2565A" w:rsidRPr="00120569" w:rsidRDefault="00D2565A" w:rsidP="00EF75ED">
            <w:pPr>
              <w:jc w:val="center"/>
              <w:rPr>
                <w:rFonts w:cs="Arial"/>
                <w:color w:val="515151" w:themeColor="text1"/>
                <w:szCs w:val="22"/>
                <w:lang w:val="de-DE"/>
              </w:rPr>
            </w:pPr>
            <w:r w:rsidRPr="00120569">
              <w:rPr>
                <w:rFonts w:cs="Arial"/>
                <w:color w:val="515151" w:themeColor="text1"/>
                <w:szCs w:val="22"/>
                <w:lang w:val="de-DE"/>
              </w:rPr>
              <w:t>t/a</w:t>
            </w:r>
          </w:p>
        </w:tc>
        <w:tc>
          <w:tcPr>
            <w:tcW w:w="2981" w:type="dxa"/>
            <w:tcBorders>
              <w:top w:val="single" w:sz="4" w:space="0" w:color="auto"/>
            </w:tcBorders>
            <w:noWrap/>
            <w:hideMark/>
          </w:tcPr>
          <w:p w14:paraId="16B6859B" w14:textId="3C7773F4" w:rsidR="00D2565A" w:rsidRPr="00120569" w:rsidRDefault="00D2565A" w:rsidP="00F10205">
            <w:pPr>
              <w:jc w:val="center"/>
              <w:rPr>
                <w:color w:val="515151" w:themeColor="text1"/>
                <w:lang w:val="de-DE"/>
              </w:rPr>
            </w:pPr>
            <w:r w:rsidRPr="00120569">
              <w:rPr>
                <w:color w:val="515151" w:themeColor="text1"/>
              </w:rPr>
              <w:t>3</w:t>
            </w:r>
            <w:r w:rsidR="00AE680F">
              <w:rPr>
                <w:color w:val="515151" w:themeColor="text1"/>
              </w:rPr>
              <w:t>150,47</w:t>
            </w:r>
          </w:p>
        </w:tc>
        <w:tc>
          <w:tcPr>
            <w:tcW w:w="2967" w:type="dxa"/>
            <w:tcBorders>
              <w:top w:val="single" w:sz="4" w:space="0" w:color="auto"/>
            </w:tcBorders>
            <w:noWrap/>
            <w:hideMark/>
          </w:tcPr>
          <w:p w14:paraId="733038DD" w14:textId="77777777" w:rsidR="00D2565A" w:rsidRPr="00120569" w:rsidRDefault="00D2565A" w:rsidP="00EF75ED">
            <w:pPr>
              <w:rPr>
                <w:rFonts w:cs="Arial"/>
                <w:color w:val="515151" w:themeColor="text1"/>
                <w:szCs w:val="22"/>
                <w:lang w:val="fr-FR"/>
              </w:rPr>
            </w:pPr>
            <w:r w:rsidRPr="00120569">
              <w:rPr>
                <w:rFonts w:cs="Arial"/>
                <w:color w:val="515151" w:themeColor="text1"/>
                <w:szCs w:val="22"/>
                <w:lang w:val="fr-FR"/>
              </w:rPr>
              <w:t>Calculated</w:t>
            </w:r>
          </w:p>
        </w:tc>
      </w:tr>
      <w:tr w:rsidR="00D2565A" w:rsidRPr="00CE5BA2" w14:paraId="7435E4E9" w14:textId="77777777" w:rsidTr="00D265E2">
        <w:trPr>
          <w:trHeight w:val="340"/>
        </w:trPr>
        <w:tc>
          <w:tcPr>
            <w:tcW w:w="2496" w:type="dxa"/>
            <w:noWrap/>
            <w:hideMark/>
          </w:tcPr>
          <w:p w14:paraId="224C9068" w14:textId="77777777" w:rsidR="00D2565A" w:rsidRPr="00120569" w:rsidRDefault="00D2565A" w:rsidP="00EF75ED">
            <w:pPr>
              <w:rPr>
                <w:rFonts w:cs="Arial"/>
                <w:color w:val="515151" w:themeColor="text1"/>
                <w:szCs w:val="22"/>
                <w:lang w:val="fr-FR"/>
              </w:rPr>
            </w:pPr>
            <w:r w:rsidRPr="00120569">
              <w:rPr>
                <w:rFonts w:cs="Arial"/>
                <w:color w:val="515151" w:themeColor="text1"/>
                <w:szCs w:val="22"/>
                <w:lang w:val="fr-FR"/>
              </w:rPr>
              <w:t>ƒ</w:t>
            </w:r>
            <w:r w:rsidRPr="00120569">
              <w:rPr>
                <w:rFonts w:cs="Arial"/>
                <w:color w:val="515151" w:themeColor="text1"/>
                <w:szCs w:val="22"/>
                <w:vertAlign w:val="subscript"/>
                <w:lang w:val="fr-FR"/>
              </w:rPr>
              <w:t xml:space="preserve">NRB,y </w:t>
            </w:r>
          </w:p>
        </w:tc>
        <w:tc>
          <w:tcPr>
            <w:tcW w:w="1185" w:type="dxa"/>
            <w:noWrap/>
            <w:hideMark/>
          </w:tcPr>
          <w:p w14:paraId="6E4C9D60" w14:textId="77777777" w:rsidR="00D2565A" w:rsidRPr="00120569" w:rsidRDefault="00D2565A" w:rsidP="00EF75ED">
            <w:pPr>
              <w:jc w:val="center"/>
              <w:rPr>
                <w:rFonts w:cs="Arial"/>
                <w:color w:val="515151" w:themeColor="text1"/>
                <w:szCs w:val="22"/>
                <w:lang w:val="fr-FR"/>
              </w:rPr>
            </w:pPr>
            <w:r w:rsidRPr="00120569">
              <w:rPr>
                <w:rFonts w:cs="Arial"/>
                <w:color w:val="515151" w:themeColor="text1"/>
                <w:szCs w:val="22"/>
                <w:lang w:val="fr-FR"/>
              </w:rPr>
              <w:t>fraction</w:t>
            </w:r>
          </w:p>
        </w:tc>
        <w:tc>
          <w:tcPr>
            <w:tcW w:w="2981" w:type="dxa"/>
            <w:noWrap/>
            <w:hideMark/>
          </w:tcPr>
          <w:p w14:paraId="0C3E638A" w14:textId="77777777" w:rsidR="00D2565A" w:rsidRPr="00120569" w:rsidRDefault="00D2565A" w:rsidP="00EF75ED">
            <w:pPr>
              <w:jc w:val="center"/>
              <w:rPr>
                <w:rFonts w:cs="Arial"/>
                <w:color w:val="515151" w:themeColor="text1"/>
                <w:szCs w:val="22"/>
                <w:lang w:val="fr-FR"/>
              </w:rPr>
            </w:pPr>
            <w:r w:rsidRPr="00120569">
              <w:rPr>
                <w:rFonts w:cs="Arial"/>
                <w:color w:val="515151" w:themeColor="text1"/>
                <w:szCs w:val="22"/>
                <w:lang w:val="fr-FR"/>
              </w:rPr>
              <w:t>0.962</w:t>
            </w:r>
          </w:p>
        </w:tc>
        <w:tc>
          <w:tcPr>
            <w:tcW w:w="2967" w:type="dxa"/>
            <w:noWrap/>
            <w:hideMark/>
          </w:tcPr>
          <w:p w14:paraId="507D5BC1" w14:textId="77777777" w:rsidR="00D2565A" w:rsidRPr="00120569" w:rsidRDefault="00D2565A" w:rsidP="00EF75ED">
            <w:pPr>
              <w:rPr>
                <w:rFonts w:cs="Arial"/>
                <w:color w:val="515151" w:themeColor="text1"/>
                <w:szCs w:val="22"/>
                <w:lang w:val="fr-FR"/>
              </w:rPr>
            </w:pPr>
            <w:r w:rsidRPr="00120569">
              <w:rPr>
                <w:rFonts w:cs="Arial"/>
                <w:color w:val="515151" w:themeColor="text1"/>
                <w:szCs w:val="22"/>
                <w:lang w:val="fr-FR"/>
              </w:rPr>
              <w:t>Fixed ex-ante - PDD</w:t>
            </w:r>
          </w:p>
        </w:tc>
      </w:tr>
      <w:tr w:rsidR="00D2565A" w:rsidRPr="00CE5BA2" w14:paraId="6DCF462B" w14:textId="77777777" w:rsidTr="00D265E2">
        <w:trPr>
          <w:trHeight w:val="340"/>
        </w:trPr>
        <w:tc>
          <w:tcPr>
            <w:tcW w:w="2496" w:type="dxa"/>
            <w:tcBorders>
              <w:bottom w:val="single" w:sz="4" w:space="0" w:color="BFBFBF" w:themeColor="background1" w:themeShade="BF"/>
            </w:tcBorders>
            <w:noWrap/>
            <w:hideMark/>
          </w:tcPr>
          <w:p w14:paraId="529BAAC4" w14:textId="77777777" w:rsidR="00D2565A" w:rsidRPr="00120569" w:rsidRDefault="00D2565A" w:rsidP="00EF75ED">
            <w:pPr>
              <w:rPr>
                <w:rFonts w:cs="Arial"/>
                <w:color w:val="515151" w:themeColor="text1"/>
                <w:szCs w:val="22"/>
                <w:lang w:val="fr-FR"/>
              </w:rPr>
            </w:pPr>
            <w:r w:rsidRPr="00120569">
              <w:rPr>
                <w:rFonts w:cs="Arial"/>
                <w:color w:val="515151" w:themeColor="text1"/>
                <w:szCs w:val="22"/>
                <w:lang w:val="fr-FR"/>
              </w:rPr>
              <w:t>NCV</w:t>
            </w:r>
            <w:r w:rsidRPr="00120569">
              <w:rPr>
                <w:rFonts w:cs="Arial"/>
                <w:color w:val="515151" w:themeColor="text1"/>
                <w:szCs w:val="22"/>
                <w:vertAlign w:val="subscript"/>
                <w:lang w:val="fr-FR"/>
              </w:rPr>
              <w:t xml:space="preserve">biomass </w:t>
            </w:r>
          </w:p>
        </w:tc>
        <w:tc>
          <w:tcPr>
            <w:tcW w:w="1185" w:type="dxa"/>
            <w:tcBorders>
              <w:bottom w:val="single" w:sz="4" w:space="0" w:color="BFBFBF" w:themeColor="background1" w:themeShade="BF"/>
            </w:tcBorders>
            <w:noWrap/>
            <w:hideMark/>
          </w:tcPr>
          <w:p w14:paraId="38F2FF3D" w14:textId="77777777" w:rsidR="00D2565A" w:rsidRPr="00120569" w:rsidRDefault="00D2565A" w:rsidP="00EF75ED">
            <w:pPr>
              <w:jc w:val="center"/>
              <w:rPr>
                <w:rFonts w:cs="Arial"/>
                <w:color w:val="515151" w:themeColor="text1"/>
                <w:szCs w:val="22"/>
                <w:lang w:val="fr-FR"/>
              </w:rPr>
            </w:pPr>
            <w:r w:rsidRPr="00120569">
              <w:rPr>
                <w:rFonts w:cs="Arial"/>
                <w:color w:val="515151" w:themeColor="text1"/>
                <w:szCs w:val="22"/>
                <w:lang w:val="fr-FR"/>
              </w:rPr>
              <w:t>TJ/t</w:t>
            </w:r>
          </w:p>
        </w:tc>
        <w:tc>
          <w:tcPr>
            <w:tcW w:w="2981" w:type="dxa"/>
            <w:tcBorders>
              <w:bottom w:val="single" w:sz="4" w:space="0" w:color="BFBFBF" w:themeColor="background1" w:themeShade="BF"/>
            </w:tcBorders>
            <w:noWrap/>
            <w:hideMark/>
          </w:tcPr>
          <w:p w14:paraId="5D369F6D" w14:textId="77777777" w:rsidR="00D2565A" w:rsidRPr="00120569" w:rsidRDefault="00D2565A" w:rsidP="00EF75ED">
            <w:pPr>
              <w:jc w:val="center"/>
              <w:rPr>
                <w:rFonts w:cs="Arial"/>
                <w:color w:val="515151" w:themeColor="text1"/>
                <w:szCs w:val="22"/>
                <w:lang w:val="fr-FR"/>
              </w:rPr>
            </w:pPr>
            <w:r w:rsidRPr="00120569">
              <w:rPr>
                <w:rFonts w:cs="Arial"/>
                <w:color w:val="515151" w:themeColor="text1"/>
                <w:szCs w:val="22"/>
                <w:lang w:val="fr-FR"/>
              </w:rPr>
              <w:t>0.015</w:t>
            </w:r>
          </w:p>
        </w:tc>
        <w:tc>
          <w:tcPr>
            <w:tcW w:w="2967" w:type="dxa"/>
            <w:tcBorders>
              <w:bottom w:val="single" w:sz="4" w:space="0" w:color="BFBFBF" w:themeColor="background1" w:themeShade="BF"/>
            </w:tcBorders>
            <w:noWrap/>
            <w:hideMark/>
          </w:tcPr>
          <w:p w14:paraId="138EF164" w14:textId="77777777" w:rsidR="00D2565A" w:rsidRPr="00120569" w:rsidRDefault="00D2565A" w:rsidP="00EF75ED">
            <w:pPr>
              <w:rPr>
                <w:rFonts w:cs="Arial"/>
                <w:color w:val="515151" w:themeColor="text1"/>
                <w:szCs w:val="22"/>
                <w:lang w:val="fr-FR"/>
              </w:rPr>
            </w:pPr>
            <w:r w:rsidRPr="00120569">
              <w:rPr>
                <w:rFonts w:cs="Arial"/>
                <w:color w:val="515151" w:themeColor="text1"/>
                <w:szCs w:val="22"/>
                <w:lang w:val="fr-FR"/>
              </w:rPr>
              <w:t>Fixed ex-ante - PDD</w:t>
            </w:r>
          </w:p>
        </w:tc>
      </w:tr>
      <w:tr w:rsidR="00D2565A" w:rsidRPr="005C7DFA" w14:paraId="361D8339" w14:textId="77777777" w:rsidTr="00D265E2">
        <w:trPr>
          <w:trHeight w:val="340"/>
        </w:trPr>
        <w:tc>
          <w:tcPr>
            <w:tcW w:w="2496" w:type="dxa"/>
            <w:tcBorders>
              <w:top w:val="single" w:sz="4" w:space="0" w:color="BFBFBF" w:themeColor="background1" w:themeShade="BF"/>
              <w:bottom w:val="single" w:sz="4" w:space="0" w:color="auto"/>
            </w:tcBorders>
            <w:noWrap/>
            <w:hideMark/>
          </w:tcPr>
          <w:p w14:paraId="43C3CC58" w14:textId="77777777" w:rsidR="00D2565A" w:rsidRPr="00120569" w:rsidRDefault="00D2565A" w:rsidP="00EF75ED">
            <w:pPr>
              <w:rPr>
                <w:rFonts w:cs="Arial"/>
                <w:color w:val="515151" w:themeColor="text1"/>
                <w:szCs w:val="22"/>
                <w:lang w:val="fr-FR"/>
              </w:rPr>
            </w:pPr>
            <w:r w:rsidRPr="00120569">
              <w:rPr>
                <w:rFonts w:cs="Arial"/>
                <w:color w:val="515151" w:themeColor="text1"/>
                <w:szCs w:val="22"/>
                <w:lang w:val="fr-FR"/>
              </w:rPr>
              <w:t>EF</w:t>
            </w:r>
            <w:r w:rsidRPr="00120569">
              <w:rPr>
                <w:rFonts w:cs="Arial"/>
                <w:color w:val="515151" w:themeColor="text1"/>
                <w:szCs w:val="22"/>
                <w:vertAlign w:val="subscript"/>
                <w:lang w:val="fr-FR"/>
              </w:rPr>
              <w:t>projected fossilfuel</w:t>
            </w:r>
          </w:p>
        </w:tc>
        <w:tc>
          <w:tcPr>
            <w:tcW w:w="1185" w:type="dxa"/>
            <w:tcBorders>
              <w:top w:val="single" w:sz="4" w:space="0" w:color="BFBFBF" w:themeColor="background1" w:themeShade="BF"/>
              <w:bottom w:val="single" w:sz="4" w:space="0" w:color="auto"/>
            </w:tcBorders>
            <w:noWrap/>
            <w:hideMark/>
          </w:tcPr>
          <w:p w14:paraId="49831506" w14:textId="77777777" w:rsidR="00D2565A" w:rsidRPr="00120569" w:rsidRDefault="00D2565A" w:rsidP="00EF75ED">
            <w:pPr>
              <w:jc w:val="center"/>
              <w:rPr>
                <w:rFonts w:cs="Arial"/>
                <w:color w:val="515151" w:themeColor="text1"/>
                <w:szCs w:val="22"/>
                <w:lang w:val="de-DE"/>
              </w:rPr>
            </w:pPr>
            <w:r w:rsidRPr="00120569">
              <w:rPr>
                <w:rFonts w:cs="Arial"/>
                <w:color w:val="515151" w:themeColor="text1"/>
                <w:szCs w:val="22"/>
                <w:lang w:val="fr-FR"/>
              </w:rPr>
              <w:t xml:space="preserve">t </w:t>
            </w:r>
            <w:r w:rsidRPr="00120569">
              <w:rPr>
                <w:rFonts w:cs="Arial"/>
                <w:color w:val="515151" w:themeColor="text1"/>
                <w:szCs w:val="22"/>
                <w:lang w:val="de-DE"/>
              </w:rPr>
              <w:t>CO</w:t>
            </w:r>
            <w:r w:rsidRPr="00120569">
              <w:rPr>
                <w:rFonts w:cs="Arial"/>
                <w:color w:val="515151" w:themeColor="text1"/>
                <w:szCs w:val="22"/>
                <w:vertAlign w:val="subscript"/>
                <w:lang w:val="de-DE"/>
              </w:rPr>
              <w:t>2</w:t>
            </w:r>
            <w:r w:rsidRPr="00120569">
              <w:rPr>
                <w:rFonts w:cs="Arial"/>
                <w:color w:val="515151" w:themeColor="text1"/>
                <w:szCs w:val="22"/>
                <w:lang w:val="de-DE"/>
              </w:rPr>
              <w:t>/TJ</w:t>
            </w:r>
          </w:p>
        </w:tc>
        <w:tc>
          <w:tcPr>
            <w:tcW w:w="2981" w:type="dxa"/>
            <w:tcBorders>
              <w:top w:val="single" w:sz="4" w:space="0" w:color="BFBFBF" w:themeColor="background1" w:themeShade="BF"/>
              <w:bottom w:val="single" w:sz="4" w:space="0" w:color="auto"/>
            </w:tcBorders>
            <w:noWrap/>
            <w:hideMark/>
          </w:tcPr>
          <w:p w14:paraId="44CA64D7" w14:textId="77777777" w:rsidR="00D2565A" w:rsidRPr="00120569" w:rsidRDefault="00D2565A" w:rsidP="00EF75ED">
            <w:pPr>
              <w:jc w:val="center"/>
              <w:rPr>
                <w:rFonts w:cs="Arial"/>
                <w:color w:val="515151" w:themeColor="text1"/>
                <w:szCs w:val="22"/>
                <w:lang w:val="de-DE"/>
              </w:rPr>
            </w:pPr>
            <w:r w:rsidRPr="00120569">
              <w:rPr>
                <w:rFonts w:cs="Arial"/>
                <w:color w:val="515151" w:themeColor="text1"/>
                <w:szCs w:val="22"/>
                <w:lang w:val="de-DE"/>
              </w:rPr>
              <w:t>81.6</w:t>
            </w:r>
          </w:p>
        </w:tc>
        <w:tc>
          <w:tcPr>
            <w:tcW w:w="2967" w:type="dxa"/>
            <w:tcBorders>
              <w:top w:val="single" w:sz="4" w:space="0" w:color="BFBFBF" w:themeColor="background1" w:themeShade="BF"/>
              <w:bottom w:val="single" w:sz="4" w:space="0" w:color="auto"/>
            </w:tcBorders>
            <w:noWrap/>
            <w:hideMark/>
          </w:tcPr>
          <w:p w14:paraId="238B67E5" w14:textId="77777777" w:rsidR="00D2565A" w:rsidRPr="00120569" w:rsidRDefault="00D2565A" w:rsidP="00EF75ED">
            <w:pPr>
              <w:rPr>
                <w:rFonts w:cs="Arial"/>
                <w:color w:val="515151" w:themeColor="text1"/>
                <w:szCs w:val="22"/>
                <w:lang w:val="de-DE"/>
              </w:rPr>
            </w:pPr>
            <w:r w:rsidRPr="00120569">
              <w:rPr>
                <w:rFonts w:cs="Arial"/>
                <w:color w:val="515151" w:themeColor="text1"/>
                <w:szCs w:val="22"/>
                <w:lang w:val="de-DE"/>
              </w:rPr>
              <w:t>Fixed ex-ante - PDD</w:t>
            </w:r>
          </w:p>
        </w:tc>
      </w:tr>
      <w:tr w:rsidR="00D2565A" w:rsidRPr="00CE5BA2" w14:paraId="361A20E5" w14:textId="77777777" w:rsidTr="00D265E2">
        <w:trPr>
          <w:trHeight w:val="340"/>
        </w:trPr>
        <w:tc>
          <w:tcPr>
            <w:tcW w:w="2496" w:type="dxa"/>
            <w:tcBorders>
              <w:top w:val="single" w:sz="4" w:space="0" w:color="auto"/>
            </w:tcBorders>
            <w:shd w:val="clear" w:color="auto" w:fill="C1F7F8" w:themeFill="accent2" w:themeFillTint="33"/>
            <w:noWrap/>
            <w:hideMark/>
          </w:tcPr>
          <w:p w14:paraId="2540030A" w14:textId="77777777" w:rsidR="00D2565A" w:rsidRPr="00CE5BA2" w:rsidRDefault="00D2565A" w:rsidP="00EF75ED">
            <w:pPr>
              <w:rPr>
                <w:rFonts w:cs="Arial"/>
                <w:b/>
                <w:bCs/>
                <w:color w:val="000000"/>
                <w:szCs w:val="22"/>
              </w:rPr>
            </w:pPr>
            <w:r w:rsidRPr="00CE5BA2">
              <w:rPr>
                <w:rFonts w:cs="Arial"/>
                <w:b/>
                <w:bCs/>
                <w:color w:val="000000"/>
                <w:szCs w:val="22"/>
                <w:lang w:val="de-DE"/>
              </w:rPr>
              <w:t>ER</w:t>
            </w:r>
            <w:r>
              <w:rPr>
                <w:rFonts w:cs="Arial"/>
                <w:b/>
                <w:bCs/>
                <w:color w:val="000000"/>
                <w:szCs w:val="22"/>
                <w:vertAlign w:val="subscript"/>
              </w:rPr>
              <w:t>MP4</w:t>
            </w:r>
          </w:p>
        </w:tc>
        <w:tc>
          <w:tcPr>
            <w:tcW w:w="1185" w:type="dxa"/>
            <w:tcBorders>
              <w:top w:val="single" w:sz="4" w:space="0" w:color="auto"/>
            </w:tcBorders>
            <w:shd w:val="clear" w:color="auto" w:fill="C1F7F8" w:themeFill="accent2" w:themeFillTint="33"/>
            <w:noWrap/>
            <w:hideMark/>
          </w:tcPr>
          <w:p w14:paraId="23C16E9A" w14:textId="77777777" w:rsidR="00D2565A" w:rsidRPr="00CE5BA2" w:rsidRDefault="00D2565A" w:rsidP="00EF75ED">
            <w:pPr>
              <w:jc w:val="center"/>
              <w:rPr>
                <w:rFonts w:cs="Arial"/>
                <w:b/>
                <w:bCs/>
                <w:szCs w:val="22"/>
              </w:rPr>
            </w:pPr>
            <w:r w:rsidRPr="00F11301">
              <w:rPr>
                <w:rFonts w:eastAsia="MS Mincho" w:cs="Arial"/>
                <w:b/>
                <w:color w:val="000000"/>
                <w:szCs w:val="22"/>
              </w:rPr>
              <w:t>tCO</w:t>
            </w:r>
            <w:r w:rsidRPr="00F11301">
              <w:rPr>
                <w:rFonts w:eastAsia="MS Mincho" w:cs="Arial"/>
                <w:b/>
                <w:color w:val="000000"/>
                <w:szCs w:val="22"/>
                <w:vertAlign w:val="subscript"/>
              </w:rPr>
              <w:t>2</w:t>
            </w:r>
            <w:r w:rsidRPr="00F11301">
              <w:rPr>
                <w:rFonts w:eastAsia="MS Mincho" w:cs="Arial"/>
                <w:b/>
                <w:color w:val="000000"/>
                <w:szCs w:val="22"/>
              </w:rPr>
              <w:t>e</w:t>
            </w:r>
          </w:p>
        </w:tc>
        <w:tc>
          <w:tcPr>
            <w:tcW w:w="2981" w:type="dxa"/>
            <w:tcBorders>
              <w:top w:val="single" w:sz="4" w:space="0" w:color="auto"/>
            </w:tcBorders>
            <w:shd w:val="clear" w:color="auto" w:fill="C1F7F8" w:themeFill="accent2" w:themeFillTint="33"/>
            <w:noWrap/>
            <w:hideMark/>
          </w:tcPr>
          <w:p w14:paraId="4EBCC6DD" w14:textId="3721231C" w:rsidR="00D2565A" w:rsidRPr="00CE5BA2" w:rsidRDefault="00D2565A" w:rsidP="00EF75ED">
            <w:pPr>
              <w:jc w:val="center"/>
              <w:rPr>
                <w:rFonts w:cs="Arial"/>
                <w:b/>
                <w:bCs/>
                <w:szCs w:val="22"/>
              </w:rPr>
            </w:pPr>
            <w:r>
              <w:rPr>
                <w:sz w:val="20"/>
              </w:rPr>
              <w:t>7,4</w:t>
            </w:r>
            <w:r w:rsidR="00AE680F">
              <w:rPr>
                <w:sz w:val="20"/>
              </w:rPr>
              <w:t>19</w:t>
            </w:r>
          </w:p>
        </w:tc>
        <w:tc>
          <w:tcPr>
            <w:tcW w:w="2967" w:type="dxa"/>
            <w:tcBorders>
              <w:top w:val="single" w:sz="4" w:space="0" w:color="auto"/>
            </w:tcBorders>
            <w:shd w:val="clear" w:color="auto" w:fill="C1F7F8" w:themeFill="accent2" w:themeFillTint="33"/>
            <w:noWrap/>
            <w:hideMark/>
          </w:tcPr>
          <w:p w14:paraId="3B25D99D" w14:textId="77777777" w:rsidR="00D2565A" w:rsidRPr="00CE5BA2" w:rsidRDefault="00D2565A" w:rsidP="00EF75ED">
            <w:pPr>
              <w:rPr>
                <w:rFonts w:cs="Arial"/>
                <w:szCs w:val="22"/>
              </w:rPr>
            </w:pPr>
            <w:r w:rsidRPr="00CE5BA2">
              <w:rPr>
                <w:rFonts w:cs="Arial"/>
                <w:szCs w:val="22"/>
              </w:rPr>
              <w:t>Calculated</w:t>
            </w:r>
          </w:p>
        </w:tc>
      </w:tr>
    </w:tbl>
    <w:p w14:paraId="53E7D9DE" w14:textId="35C36081" w:rsidR="00D2565A" w:rsidRDefault="00D2565A" w:rsidP="00D2565A"/>
    <w:p w14:paraId="77388D56" w14:textId="77777777" w:rsidR="00140122" w:rsidRDefault="00140122" w:rsidP="00140122">
      <w:pPr>
        <w:pStyle w:val="Default"/>
        <w:rPr>
          <w:b/>
          <w:color w:val="515151" w:themeColor="text1"/>
          <w:sz w:val="22"/>
          <w:szCs w:val="20"/>
          <w:lang w:val="en-US"/>
        </w:rPr>
      </w:pPr>
      <w:r>
        <w:rPr>
          <w:b/>
          <w:color w:val="515151" w:themeColor="text1"/>
          <w:sz w:val="22"/>
          <w:szCs w:val="20"/>
          <w:lang w:val="en-US"/>
        </w:rPr>
        <w:t>Evidence/Supporting Document:</w:t>
      </w:r>
    </w:p>
    <w:p w14:paraId="41AC3111" w14:textId="5D3104F6" w:rsidR="00140122" w:rsidRDefault="00140122" w:rsidP="00D2565A">
      <w:pPr>
        <w:rPr>
          <w:b/>
        </w:rPr>
      </w:pPr>
    </w:p>
    <w:p w14:paraId="3C983420" w14:textId="2624E35D" w:rsidR="00AD1DAE" w:rsidRPr="00AD1DAE" w:rsidRDefault="00AD1DAE" w:rsidP="00D2565A">
      <w:r w:rsidRPr="00AD1DAE">
        <w:t>Kenya_MP4_CER calculation_15062021.xlsx</w:t>
      </w:r>
    </w:p>
    <w:p w14:paraId="79DABCE9" w14:textId="77777777" w:rsidR="00AD1DAE" w:rsidRDefault="00AD1DAE" w:rsidP="00D2565A">
      <w:pPr>
        <w:rPr>
          <w:b/>
        </w:rPr>
      </w:pPr>
    </w:p>
    <w:p w14:paraId="128D3F35" w14:textId="13305EA9" w:rsidR="00065AF3" w:rsidRDefault="005F65E0" w:rsidP="00D2565A">
      <w:pPr>
        <w:rPr>
          <w:b/>
        </w:rPr>
      </w:pPr>
      <w:r w:rsidRPr="00A55140">
        <w:rPr>
          <w:b/>
        </w:rPr>
        <w:t>SDG 17, Target 17.7: Transfer of an innovative and clean energy technology</w:t>
      </w:r>
    </w:p>
    <w:p w14:paraId="2AD39E3B" w14:textId="77777777" w:rsidR="000C2A43" w:rsidRPr="00A55140" w:rsidRDefault="000C2A43" w:rsidP="00D2565A">
      <w:pPr>
        <w:rPr>
          <w:b/>
        </w:rPr>
      </w:pPr>
    </w:p>
    <w:p w14:paraId="242BE0C1" w14:textId="600FD452" w:rsidR="00D2565A" w:rsidRDefault="00065AF3" w:rsidP="00D2565A">
      <w:r>
        <w:t>The t</w:t>
      </w:r>
      <w:r w:rsidRPr="00065AF3">
        <w:t xml:space="preserve">ransfer of an innovative and clean energy technology was monitored by the number of commissioned biogas </w:t>
      </w:r>
      <w:r>
        <w:t xml:space="preserve">units until the end of the fourth Monitoring Period </w:t>
      </w:r>
      <w:r>
        <w:lastRenderedPageBreak/>
        <w:t>(30.12.2020</w:t>
      </w:r>
      <w:r w:rsidRPr="00065AF3">
        <w:t>). The following table gives an overview about the type, nature and number of the biogas units commissioned until the end of the third Monitoring Period:</w:t>
      </w:r>
    </w:p>
    <w:tbl>
      <w:tblPr>
        <w:tblStyle w:val="GSBoldTable"/>
        <w:tblW w:w="0" w:type="auto"/>
        <w:tblLook w:val="04A0" w:firstRow="1" w:lastRow="0" w:firstColumn="1" w:lastColumn="0" w:noHBand="0" w:noVBand="1"/>
      </w:tblPr>
      <w:tblGrid>
        <w:gridCol w:w="4811"/>
        <w:gridCol w:w="4811"/>
      </w:tblGrid>
      <w:tr w:rsidR="00065AF3" w14:paraId="431F1E72" w14:textId="77777777" w:rsidTr="00A55140">
        <w:trPr>
          <w:cnfStyle w:val="100000000000" w:firstRow="1" w:lastRow="0" w:firstColumn="0" w:lastColumn="0" w:oddVBand="0" w:evenVBand="0" w:oddHBand="0" w:evenHBand="0" w:firstRowFirstColumn="0" w:firstRowLastColumn="0" w:lastRowFirstColumn="0" w:lastRowLastColumn="0"/>
        </w:trPr>
        <w:tc>
          <w:tcPr>
            <w:tcW w:w="4811" w:type="dxa"/>
          </w:tcPr>
          <w:p w14:paraId="764573B1" w14:textId="2577F494" w:rsidR="00065AF3" w:rsidRPr="00A55140" w:rsidRDefault="00065AF3" w:rsidP="00065AF3">
            <w:pPr>
              <w:rPr>
                <w:rFonts w:asciiTheme="minorHAnsi" w:hAnsiTheme="minorHAnsi"/>
                <w:b/>
                <w:color w:val="FFFFFF" w:themeColor="background1"/>
                <w:szCs w:val="22"/>
              </w:rPr>
            </w:pPr>
            <w:r w:rsidRPr="00A55140">
              <w:rPr>
                <w:rFonts w:asciiTheme="minorHAnsi" w:hAnsiTheme="minorHAnsi" w:cs="Arial"/>
                <w:b/>
                <w:color w:val="FFFFFF" w:themeColor="background1"/>
                <w:szCs w:val="22"/>
                <w:lang w:val="de-DE"/>
                <w14:cntxtAlts w14:val="0"/>
              </w:rPr>
              <w:t xml:space="preserve">Type </w:t>
            </w:r>
          </w:p>
        </w:tc>
        <w:tc>
          <w:tcPr>
            <w:tcW w:w="4811" w:type="dxa"/>
          </w:tcPr>
          <w:p w14:paraId="61743B98" w14:textId="05EE9175" w:rsidR="00065AF3" w:rsidRPr="00A55140" w:rsidRDefault="00065AF3" w:rsidP="00065AF3">
            <w:pPr>
              <w:rPr>
                <w:rFonts w:asciiTheme="minorHAnsi" w:hAnsiTheme="minorHAnsi"/>
                <w:b/>
                <w:color w:val="FFFFFF" w:themeColor="background1"/>
                <w:szCs w:val="22"/>
              </w:rPr>
            </w:pPr>
            <w:r w:rsidRPr="00A55140">
              <w:rPr>
                <w:rFonts w:asciiTheme="minorHAnsi" w:hAnsiTheme="minorHAnsi" w:cs="Arial"/>
                <w:b/>
                <w:color w:val="FFFFFF" w:themeColor="background1"/>
                <w:szCs w:val="22"/>
                <w:lang w:val="de-DE"/>
                <w14:cntxtAlts w14:val="0"/>
              </w:rPr>
              <w:t xml:space="preserve">Deenbandhu model 2000 </w:t>
            </w:r>
          </w:p>
        </w:tc>
      </w:tr>
      <w:tr w:rsidR="00065AF3" w14:paraId="53ED6AD3" w14:textId="77777777" w:rsidTr="00A55140">
        <w:tc>
          <w:tcPr>
            <w:tcW w:w="4811" w:type="dxa"/>
          </w:tcPr>
          <w:p w14:paraId="1BDFC84B" w14:textId="2C4EF81E" w:rsidR="00065AF3" w:rsidRPr="00A55140" w:rsidRDefault="00065AF3" w:rsidP="00065AF3">
            <w:pPr>
              <w:rPr>
                <w:rFonts w:asciiTheme="minorHAnsi" w:hAnsiTheme="minorHAnsi"/>
                <w:color w:val="515151" w:themeColor="text1"/>
                <w:szCs w:val="22"/>
              </w:rPr>
            </w:pPr>
            <w:r w:rsidRPr="00A55140">
              <w:rPr>
                <w:rFonts w:asciiTheme="minorHAnsi" w:hAnsiTheme="minorHAnsi" w:cs="Arial"/>
                <w:color w:val="515151" w:themeColor="text1"/>
                <w:szCs w:val="22"/>
                <w:lang w:val="de-DE"/>
                <w14:cntxtAlts w14:val="0"/>
              </w:rPr>
              <w:t xml:space="preserve">Nature </w:t>
            </w:r>
          </w:p>
        </w:tc>
        <w:tc>
          <w:tcPr>
            <w:tcW w:w="4811" w:type="dxa"/>
          </w:tcPr>
          <w:p w14:paraId="7313A6A8" w14:textId="6C915CBB" w:rsidR="00065AF3" w:rsidRPr="00A55140" w:rsidRDefault="00065AF3" w:rsidP="00065AF3">
            <w:pPr>
              <w:rPr>
                <w:rFonts w:asciiTheme="minorHAnsi" w:hAnsiTheme="minorHAnsi"/>
                <w:color w:val="515151" w:themeColor="text1"/>
                <w:szCs w:val="22"/>
              </w:rPr>
            </w:pPr>
            <w:r w:rsidRPr="00A55140">
              <w:rPr>
                <w:rFonts w:asciiTheme="minorHAnsi" w:hAnsiTheme="minorHAnsi" w:cs="Arial"/>
                <w:color w:val="515151" w:themeColor="text1"/>
                <w:szCs w:val="22"/>
                <w:lang w:val="de-DE"/>
                <w14:cntxtAlts w14:val="0"/>
              </w:rPr>
              <w:t xml:space="preserve">Locally manufactured </w:t>
            </w:r>
          </w:p>
        </w:tc>
      </w:tr>
      <w:tr w:rsidR="00065AF3" w14:paraId="1242E75F" w14:textId="77777777" w:rsidTr="00A55140">
        <w:tc>
          <w:tcPr>
            <w:tcW w:w="4811" w:type="dxa"/>
          </w:tcPr>
          <w:p w14:paraId="5627FACA" w14:textId="1F9F56DD" w:rsidR="00065AF3" w:rsidRPr="00A55140" w:rsidRDefault="00065AF3" w:rsidP="00065AF3">
            <w:pPr>
              <w:rPr>
                <w:rFonts w:asciiTheme="minorHAnsi" w:hAnsiTheme="minorHAnsi"/>
                <w:color w:val="515151" w:themeColor="text1"/>
                <w:szCs w:val="22"/>
              </w:rPr>
            </w:pPr>
            <w:r w:rsidRPr="00A55140">
              <w:rPr>
                <w:rFonts w:asciiTheme="minorHAnsi" w:hAnsiTheme="minorHAnsi" w:cs="Arial"/>
                <w:b/>
                <w:bCs/>
                <w:color w:val="515151" w:themeColor="text1"/>
                <w:szCs w:val="22"/>
                <w:lang w:val="de-DE"/>
                <w14:cntxtAlts w14:val="0"/>
              </w:rPr>
              <w:t xml:space="preserve">Total Number </w:t>
            </w:r>
          </w:p>
        </w:tc>
        <w:tc>
          <w:tcPr>
            <w:tcW w:w="4811" w:type="dxa"/>
          </w:tcPr>
          <w:p w14:paraId="56CD04ED" w14:textId="0E407975" w:rsidR="00065AF3" w:rsidRPr="00A55140" w:rsidRDefault="00065AF3" w:rsidP="00065AF3">
            <w:pPr>
              <w:rPr>
                <w:rFonts w:asciiTheme="minorHAnsi" w:hAnsiTheme="minorHAnsi"/>
                <w:color w:val="515151" w:themeColor="text1"/>
                <w:szCs w:val="22"/>
              </w:rPr>
            </w:pPr>
            <w:r w:rsidRPr="00A55140">
              <w:rPr>
                <w:rFonts w:asciiTheme="minorHAnsi" w:hAnsiTheme="minorHAnsi" w:cs="Arial"/>
                <w:b/>
                <w:bCs/>
                <w:color w:val="515151" w:themeColor="text1"/>
                <w:szCs w:val="22"/>
                <w:lang w:val="de-DE"/>
                <w14:cntxtAlts w14:val="0"/>
              </w:rPr>
              <w:t>7</w:t>
            </w:r>
            <w:r>
              <w:rPr>
                <w:rFonts w:asciiTheme="minorHAnsi" w:hAnsiTheme="minorHAnsi" w:cs="Arial"/>
                <w:b/>
                <w:bCs/>
                <w:color w:val="515151" w:themeColor="text1"/>
                <w:szCs w:val="22"/>
                <w:lang w:val="de-DE"/>
                <w14:cntxtAlts w14:val="0"/>
              </w:rPr>
              <w:t>9</w:t>
            </w:r>
            <w:r w:rsidR="00AE52C1">
              <w:rPr>
                <w:rFonts w:asciiTheme="minorHAnsi" w:hAnsiTheme="minorHAnsi" w:cs="Arial"/>
                <w:b/>
                <w:bCs/>
                <w:color w:val="515151" w:themeColor="text1"/>
                <w:szCs w:val="22"/>
                <w:lang w:val="de-DE"/>
                <w14:cntxtAlts w14:val="0"/>
              </w:rPr>
              <w:t>6</w:t>
            </w:r>
          </w:p>
        </w:tc>
      </w:tr>
      <w:tr w:rsidR="00065AF3" w14:paraId="5D906F47" w14:textId="77777777" w:rsidTr="00A55140">
        <w:tc>
          <w:tcPr>
            <w:tcW w:w="4811" w:type="dxa"/>
          </w:tcPr>
          <w:p w14:paraId="2BB2D0E0" w14:textId="2CD0F3F2" w:rsidR="00065AF3" w:rsidRPr="00A55140" w:rsidRDefault="00DF15EC" w:rsidP="00065AF3">
            <w:pPr>
              <w:rPr>
                <w:rFonts w:asciiTheme="minorHAnsi" w:hAnsiTheme="minorHAnsi"/>
                <w:color w:val="515151" w:themeColor="text1"/>
                <w:szCs w:val="22"/>
              </w:rPr>
            </w:pPr>
            <w:r w:rsidRPr="00B5792C">
              <w:rPr>
                <w:rFonts w:asciiTheme="minorHAnsi" w:hAnsiTheme="minorHAnsi" w:cs="Arial"/>
                <w:color w:val="515151" w:themeColor="text1"/>
                <w:szCs w:val="22"/>
                <w:lang w:val="en-AU"/>
                <w14:cntxtAlts w14:val="0"/>
              </w:rPr>
              <w:t>Number units of size 2</w:t>
            </w:r>
            <w:r>
              <w:rPr>
                <w:rFonts w:asciiTheme="minorHAnsi" w:hAnsiTheme="minorHAnsi" w:cs="Arial"/>
                <w:color w:val="515151" w:themeColor="text1"/>
                <w:szCs w:val="22"/>
                <w:lang w:val="en-AU"/>
                <w14:cntxtAlts w14:val="0"/>
              </w:rPr>
              <w:t xml:space="preserve"> </w:t>
            </w:r>
            <m:oMath>
              <m:sSup>
                <m:sSupPr>
                  <m:ctrlPr>
                    <w:rPr>
                      <w:rFonts w:ascii="Cambria Math" w:hAnsi="Cambria Math" w:cs="Arial"/>
                      <w:i/>
                      <w:color w:val="515151" w:themeColor="text1"/>
                      <w:szCs w:val="22"/>
                      <w:lang w:val="en-AU"/>
                      <w14:cntxtAlts w14:val="0"/>
                    </w:rPr>
                  </m:ctrlPr>
                </m:sSupPr>
                <m:e>
                  <m:r>
                    <w:rPr>
                      <w:rFonts w:ascii="Cambria Math" w:hAnsi="Cambria Math" w:cs="Arial"/>
                      <w:color w:val="515151" w:themeColor="text1"/>
                      <w:szCs w:val="22"/>
                      <w:lang w:val="en-AU"/>
                      <w14:cntxtAlts w14:val="0"/>
                    </w:rPr>
                    <m:t>m</m:t>
                  </m:r>
                </m:e>
                <m:sup>
                  <m:r>
                    <w:rPr>
                      <w:rFonts w:ascii="Cambria Math" w:hAnsi="Cambria Math" w:cs="Arial"/>
                      <w:color w:val="515151" w:themeColor="text1"/>
                      <w:szCs w:val="22"/>
                      <w:lang w:val="en-AU"/>
                      <w14:cntxtAlts w14:val="0"/>
                    </w:rPr>
                    <m:t>3</m:t>
                  </m:r>
                </m:sup>
              </m:sSup>
            </m:oMath>
          </w:p>
        </w:tc>
        <w:tc>
          <w:tcPr>
            <w:tcW w:w="4811" w:type="dxa"/>
          </w:tcPr>
          <w:p w14:paraId="0603DF0B" w14:textId="771B9442" w:rsidR="00065AF3" w:rsidRPr="00A55140" w:rsidRDefault="00AE680F" w:rsidP="00065AF3">
            <w:pPr>
              <w:rPr>
                <w:rFonts w:asciiTheme="minorHAnsi" w:hAnsiTheme="minorHAnsi"/>
                <w:color w:val="515151" w:themeColor="text1"/>
                <w:szCs w:val="22"/>
              </w:rPr>
            </w:pPr>
            <w:r>
              <w:rPr>
                <w:rFonts w:asciiTheme="minorHAnsi" w:hAnsiTheme="minorHAnsi" w:cs="Arial"/>
                <w:color w:val="515151" w:themeColor="text1"/>
                <w:szCs w:val="22"/>
                <w:lang w:val="de-DE"/>
                <w14:cntxtAlts w14:val="0"/>
              </w:rPr>
              <w:t>14</w:t>
            </w:r>
          </w:p>
        </w:tc>
      </w:tr>
      <w:tr w:rsidR="00065AF3" w14:paraId="11CB34DC" w14:textId="77777777" w:rsidTr="00A55140">
        <w:tc>
          <w:tcPr>
            <w:tcW w:w="4811" w:type="dxa"/>
          </w:tcPr>
          <w:p w14:paraId="0909DF2C" w14:textId="05EC1C08" w:rsidR="00065AF3" w:rsidRPr="00A55140" w:rsidRDefault="00DF15EC" w:rsidP="00065AF3">
            <w:pPr>
              <w:rPr>
                <w:rFonts w:asciiTheme="minorHAnsi" w:hAnsiTheme="minorHAnsi"/>
                <w:color w:val="515151" w:themeColor="text1"/>
                <w:szCs w:val="22"/>
              </w:rPr>
            </w:pPr>
            <w:r w:rsidRPr="00B5792C">
              <w:rPr>
                <w:rFonts w:asciiTheme="minorHAnsi" w:hAnsiTheme="minorHAnsi" w:cs="Arial"/>
                <w:color w:val="515151" w:themeColor="text1"/>
                <w:szCs w:val="22"/>
                <w:lang w:val="en-AU"/>
                <w14:cntxtAlts w14:val="0"/>
              </w:rPr>
              <w:t>Number units of size 3</w:t>
            </w:r>
            <w:r w:rsidR="00065AF3" w:rsidRPr="00A55140">
              <w:rPr>
                <w:rFonts w:asciiTheme="minorHAnsi" w:hAnsiTheme="minorHAnsi" w:cs="Arial"/>
                <w:color w:val="515151" w:themeColor="text1"/>
                <w:szCs w:val="22"/>
                <w:lang w:val="en-AU"/>
                <w14:cntxtAlts w14:val="0"/>
              </w:rPr>
              <w:t xml:space="preserve"> </w:t>
            </w:r>
            <m:oMath>
              <m:sSup>
                <m:sSupPr>
                  <m:ctrlPr>
                    <w:rPr>
                      <w:rFonts w:ascii="Cambria Math" w:hAnsi="Cambria Math" w:cs="Arial"/>
                      <w:i/>
                      <w:color w:val="515151" w:themeColor="text1"/>
                      <w:szCs w:val="22"/>
                      <w:lang w:val="en-AU"/>
                      <w14:cntxtAlts w14:val="0"/>
                    </w:rPr>
                  </m:ctrlPr>
                </m:sSupPr>
                <m:e>
                  <m:r>
                    <w:rPr>
                      <w:rFonts w:ascii="Cambria Math" w:hAnsi="Cambria Math" w:cs="Arial"/>
                      <w:color w:val="515151" w:themeColor="text1"/>
                      <w:szCs w:val="22"/>
                      <w:lang w:val="en-AU"/>
                      <w14:cntxtAlts w14:val="0"/>
                    </w:rPr>
                    <m:t>m</m:t>
                  </m:r>
                </m:e>
                <m:sup>
                  <m:r>
                    <w:rPr>
                      <w:rFonts w:ascii="Cambria Math" w:hAnsi="Cambria Math" w:cs="Arial"/>
                      <w:color w:val="515151" w:themeColor="text1"/>
                      <w:szCs w:val="22"/>
                      <w:lang w:val="en-AU"/>
                      <w14:cntxtAlts w14:val="0"/>
                    </w:rPr>
                    <m:t>3</m:t>
                  </m:r>
                </m:sup>
              </m:sSup>
            </m:oMath>
          </w:p>
        </w:tc>
        <w:tc>
          <w:tcPr>
            <w:tcW w:w="4811" w:type="dxa"/>
          </w:tcPr>
          <w:p w14:paraId="5AC34F6F" w14:textId="4333F263" w:rsidR="00065AF3" w:rsidRPr="00A55140" w:rsidRDefault="00AE680F" w:rsidP="00065AF3">
            <w:pPr>
              <w:rPr>
                <w:rFonts w:asciiTheme="minorHAnsi" w:hAnsiTheme="minorHAnsi"/>
                <w:color w:val="515151" w:themeColor="text1"/>
                <w:szCs w:val="22"/>
              </w:rPr>
            </w:pPr>
            <w:r>
              <w:rPr>
                <w:rFonts w:asciiTheme="minorHAnsi" w:hAnsiTheme="minorHAnsi" w:cs="Arial"/>
                <w:color w:val="515151" w:themeColor="text1"/>
                <w:szCs w:val="22"/>
                <w:lang w:val="de-DE"/>
                <w14:cntxtAlts w14:val="0"/>
              </w:rPr>
              <w:t>782</w:t>
            </w:r>
          </w:p>
        </w:tc>
      </w:tr>
    </w:tbl>
    <w:p w14:paraId="49E27877" w14:textId="446A43E3" w:rsidR="009B599C" w:rsidRPr="009B599C" w:rsidRDefault="009B599C"/>
    <w:p w14:paraId="74C55789" w14:textId="7403EEA8" w:rsidR="004714F2" w:rsidRDefault="009C150E" w:rsidP="009C150E">
      <w:pPr>
        <w:pStyle w:val="Heading5"/>
      </w:pPr>
      <w:bookmarkStart w:id="52" w:name="_Toc40962786"/>
      <w:r>
        <w:t xml:space="preserve">E.5. </w:t>
      </w:r>
      <w:r w:rsidR="00816579" w:rsidRPr="00241108">
        <w:t xml:space="preserve">Comparison of actual </w:t>
      </w:r>
      <w:r w:rsidR="00816579" w:rsidRPr="002669DA">
        <w:t xml:space="preserve">SDG Impacts </w:t>
      </w:r>
      <w:r w:rsidR="00816579" w:rsidRPr="00241108">
        <w:t>with estimates in approved PDD</w:t>
      </w:r>
      <w:bookmarkEnd w:id="52"/>
      <w:r w:rsidR="00816579">
        <w:t xml:space="preserve"> </w:t>
      </w:r>
    </w:p>
    <w:p w14:paraId="55E78A5B" w14:textId="77777777" w:rsidR="009C365D" w:rsidRPr="009C365D" w:rsidRDefault="009C365D" w:rsidP="009C365D"/>
    <w:tbl>
      <w:tblPr>
        <w:tblStyle w:val="GSTableBoldline-heightcondensed"/>
        <w:tblW w:w="5004" w:type="pct"/>
        <w:tblLayout w:type="fixed"/>
        <w:tblCellMar>
          <w:top w:w="57" w:type="dxa"/>
          <w:left w:w="57" w:type="dxa"/>
        </w:tblCellMar>
        <w:tblLook w:val="06A0" w:firstRow="1" w:lastRow="0" w:firstColumn="1" w:lastColumn="0" w:noHBand="1" w:noVBand="1"/>
      </w:tblPr>
      <w:tblGrid>
        <w:gridCol w:w="2126"/>
        <w:gridCol w:w="4394"/>
        <w:gridCol w:w="3120"/>
      </w:tblGrid>
      <w:tr w:rsidR="006E4BDF" w:rsidRPr="001673A1" w14:paraId="2A3095D6" w14:textId="77777777" w:rsidTr="00A55140">
        <w:trPr>
          <w:cnfStyle w:val="100000000000" w:firstRow="1" w:lastRow="0" w:firstColumn="0" w:lastColumn="0" w:oddVBand="0" w:evenVBand="0" w:oddHBand="0" w:evenHBand="0" w:firstRowFirstColumn="0" w:firstRowLastColumn="0" w:lastRowFirstColumn="0" w:lastRowLastColumn="0"/>
          <w:trHeight w:val="658"/>
        </w:trPr>
        <w:tc>
          <w:tcPr>
            <w:tcW w:w="1103" w:type="pct"/>
            <w:vAlign w:val="top"/>
          </w:tcPr>
          <w:p w14:paraId="70B37EA1" w14:textId="77777777" w:rsidR="004714F2" w:rsidRPr="004714F2" w:rsidDel="00B62773" w:rsidRDefault="004714F2" w:rsidP="004714F2">
            <w:pPr>
              <w:rPr>
                <w:color w:val="FFFFFF" w:themeColor="background1"/>
              </w:rPr>
            </w:pPr>
            <w:r w:rsidRPr="004714F2">
              <w:rPr>
                <w:color w:val="FFFFFF" w:themeColor="background1"/>
              </w:rPr>
              <w:t>SDG</w:t>
            </w:r>
          </w:p>
        </w:tc>
        <w:tc>
          <w:tcPr>
            <w:tcW w:w="2279" w:type="pct"/>
          </w:tcPr>
          <w:p w14:paraId="7D9A0325" w14:textId="2D15628E" w:rsidR="004714F2" w:rsidRPr="006E4BDF" w:rsidRDefault="004714F2" w:rsidP="00B5792C">
            <w:pPr>
              <w:spacing w:line="276" w:lineRule="auto"/>
              <w:ind w:left="83" w:right="823"/>
              <w:rPr>
                <w:rFonts w:asciiTheme="minorHAnsi" w:hAnsiTheme="minorHAnsi"/>
                <w:bCs/>
                <w:color w:val="FFFFFF" w:themeColor="background1"/>
                <w:sz w:val="20"/>
              </w:rPr>
            </w:pPr>
            <w:r w:rsidRPr="006E4BDF">
              <w:rPr>
                <w:rFonts w:asciiTheme="minorHAnsi" w:hAnsiTheme="minorHAnsi"/>
                <w:bCs/>
                <w:color w:val="FFFFFF" w:themeColor="background1"/>
              </w:rPr>
              <w:t xml:space="preserve">Values </w:t>
            </w:r>
            <w:r w:rsidRPr="006E4BDF">
              <w:rPr>
                <w:rFonts w:asciiTheme="minorHAnsi" w:eastAsia="MS Mincho" w:hAnsiTheme="minorHAnsi"/>
                <w:bCs/>
                <w:color w:val="FFFFFF" w:themeColor="background1"/>
              </w:rPr>
              <w:t>estimated</w:t>
            </w:r>
            <w:r w:rsidRPr="006E4BDF">
              <w:rPr>
                <w:rFonts w:asciiTheme="minorHAnsi" w:hAnsiTheme="minorHAnsi"/>
                <w:bCs/>
                <w:color w:val="FFFFFF" w:themeColor="background1"/>
              </w:rPr>
              <w:t xml:space="preserve"> in ex ante calculation of approved </w:t>
            </w:r>
            <w:r w:rsidRPr="006E4BDF">
              <w:rPr>
                <w:rFonts w:asciiTheme="minorHAnsi" w:eastAsia="MS Mincho" w:hAnsiTheme="minorHAnsi"/>
                <w:bCs/>
                <w:color w:val="FFFFFF" w:themeColor="background1"/>
              </w:rPr>
              <w:t xml:space="preserve">PDD </w:t>
            </w:r>
          </w:p>
        </w:tc>
        <w:tc>
          <w:tcPr>
            <w:tcW w:w="1618" w:type="pct"/>
            <w:vAlign w:val="top"/>
          </w:tcPr>
          <w:p w14:paraId="3FF80DA7" w14:textId="72E8ABB5" w:rsidR="004714F2" w:rsidRPr="006E4BDF" w:rsidRDefault="004714F2" w:rsidP="009C365D">
            <w:pPr>
              <w:spacing w:line="276" w:lineRule="auto"/>
              <w:rPr>
                <w:rFonts w:asciiTheme="minorHAnsi" w:hAnsiTheme="minorHAnsi"/>
                <w:bCs/>
                <w:color w:val="FFFFFF" w:themeColor="background1"/>
                <w:sz w:val="20"/>
              </w:rPr>
            </w:pPr>
            <w:r w:rsidRPr="006E4BDF">
              <w:rPr>
                <w:rFonts w:asciiTheme="minorHAnsi" w:hAnsiTheme="minorHAnsi"/>
                <w:bCs/>
                <w:color w:val="FFFFFF" w:themeColor="background1"/>
              </w:rPr>
              <w:t xml:space="preserve">Actual values </w:t>
            </w:r>
            <w:r w:rsidRPr="006E4BDF">
              <w:rPr>
                <w:rFonts w:asciiTheme="minorHAnsi" w:eastAsia="MS Mincho" w:hAnsiTheme="minorHAnsi"/>
                <w:bCs/>
                <w:color w:val="FFFFFF" w:themeColor="background1"/>
              </w:rPr>
              <w:t>achieved</w:t>
            </w:r>
            <w:r w:rsidRPr="006E4BDF">
              <w:rPr>
                <w:rFonts w:asciiTheme="minorHAnsi" w:hAnsiTheme="minorHAnsi"/>
                <w:bCs/>
                <w:color w:val="FFFFFF" w:themeColor="background1"/>
              </w:rPr>
              <w:t xml:space="preserve"> during th</w:t>
            </w:r>
            <w:r w:rsidRPr="006E4BDF">
              <w:rPr>
                <w:rFonts w:asciiTheme="minorHAnsi" w:eastAsia="MS Mincho" w:hAnsiTheme="minorHAnsi"/>
                <w:bCs/>
                <w:color w:val="FFFFFF" w:themeColor="background1"/>
              </w:rPr>
              <w:t>is</w:t>
            </w:r>
            <w:r w:rsidRPr="006E4BDF">
              <w:rPr>
                <w:rFonts w:asciiTheme="minorHAnsi" w:hAnsiTheme="minorHAnsi"/>
                <w:bCs/>
                <w:color w:val="FFFFFF" w:themeColor="background1"/>
              </w:rPr>
              <w:t xml:space="preserve"> monitoring period</w:t>
            </w:r>
          </w:p>
        </w:tc>
      </w:tr>
      <w:tr w:rsidR="009B599C" w:rsidRPr="001673A1" w14:paraId="4A97405F" w14:textId="77777777" w:rsidTr="00A55140">
        <w:trPr>
          <w:trHeight w:val="658"/>
        </w:trPr>
        <w:tc>
          <w:tcPr>
            <w:tcW w:w="1103" w:type="pct"/>
            <w:vAlign w:val="top"/>
          </w:tcPr>
          <w:p w14:paraId="15849F14" w14:textId="168389AD" w:rsidR="009B599C" w:rsidRPr="004714F2" w:rsidRDefault="009B599C" w:rsidP="00A55140">
            <w:pPr>
              <w:spacing w:line="276" w:lineRule="auto"/>
              <w:rPr>
                <w:color w:val="FFFFFF" w:themeColor="background1"/>
              </w:rPr>
            </w:pPr>
            <w:r w:rsidRPr="00A55140">
              <w:rPr>
                <w:rFonts w:cs="Verdana"/>
                <w:color w:val="515151" w:themeColor="text1"/>
                <w:sz w:val="20"/>
                <w:lang w:val="en-GB"/>
                <w14:cntxtAlts w14:val="0"/>
              </w:rPr>
              <w:t>Goal 13, Target 13.2: Reduction of GHG emissions</w:t>
            </w:r>
          </w:p>
        </w:tc>
        <w:tc>
          <w:tcPr>
            <w:tcW w:w="2279" w:type="pct"/>
          </w:tcPr>
          <w:p w14:paraId="1BD77E70" w14:textId="4F457489" w:rsidR="009B599C" w:rsidRPr="006E4BDF" w:rsidRDefault="009B599C" w:rsidP="009B599C">
            <w:pPr>
              <w:spacing w:line="276" w:lineRule="auto"/>
              <w:ind w:left="83" w:right="823"/>
              <w:rPr>
                <w:rFonts w:asciiTheme="minorHAnsi" w:hAnsiTheme="minorHAnsi"/>
                <w:bCs/>
                <w:color w:val="FFFFFF" w:themeColor="background1"/>
              </w:rPr>
            </w:pPr>
            <w:r w:rsidRPr="00F10205">
              <w:rPr>
                <w:sz w:val="20"/>
              </w:rPr>
              <w:t xml:space="preserve">91,729 </w:t>
            </w:r>
            <w:r w:rsidRPr="00F10205">
              <w:rPr>
                <w:rFonts w:cs="Arial"/>
                <w:sz w:val="20"/>
                <w:lang w:val="de-DE"/>
              </w:rPr>
              <w:t>tCO</w:t>
            </w:r>
            <w:r w:rsidRPr="00F10205">
              <w:rPr>
                <w:rFonts w:cs="Arial"/>
                <w:sz w:val="20"/>
                <w:vertAlign w:val="subscript"/>
                <w:lang w:val="de-DE"/>
              </w:rPr>
              <w:t>2e</w:t>
            </w:r>
          </w:p>
        </w:tc>
        <w:tc>
          <w:tcPr>
            <w:tcW w:w="1618" w:type="pct"/>
          </w:tcPr>
          <w:p w14:paraId="351A3CB2" w14:textId="2E5F6F70" w:rsidR="009B599C" w:rsidRPr="006E4BDF" w:rsidRDefault="000D47FE" w:rsidP="009B599C">
            <w:pPr>
              <w:spacing w:line="276" w:lineRule="auto"/>
              <w:rPr>
                <w:rFonts w:asciiTheme="minorHAnsi" w:hAnsiTheme="minorHAnsi"/>
                <w:bCs/>
                <w:color w:val="FFFFFF" w:themeColor="background1"/>
              </w:rPr>
            </w:pPr>
            <w:r>
              <w:rPr>
                <w:sz w:val="20"/>
              </w:rPr>
              <w:t>7,419</w:t>
            </w:r>
            <w:r w:rsidR="009B599C" w:rsidRPr="00F10205">
              <w:rPr>
                <w:rFonts w:cs="Arial"/>
                <w:sz w:val="20"/>
                <w:lang w:val="de-DE"/>
              </w:rPr>
              <w:t xml:space="preserve"> tCO</w:t>
            </w:r>
            <w:r w:rsidR="009B599C" w:rsidRPr="00F10205">
              <w:rPr>
                <w:rFonts w:cs="Arial"/>
                <w:sz w:val="20"/>
                <w:vertAlign w:val="subscript"/>
                <w:lang w:val="de-DE"/>
              </w:rPr>
              <w:t>2e</w:t>
            </w:r>
          </w:p>
        </w:tc>
      </w:tr>
      <w:tr w:rsidR="0085074D" w:rsidRPr="001673A1" w14:paraId="1CC67392" w14:textId="77777777" w:rsidTr="00A55140">
        <w:trPr>
          <w:trHeight w:val="494"/>
        </w:trPr>
        <w:tc>
          <w:tcPr>
            <w:tcW w:w="1103" w:type="pct"/>
            <w:vAlign w:val="top"/>
          </w:tcPr>
          <w:p w14:paraId="4BCFD078" w14:textId="77777777" w:rsidR="0085074D" w:rsidRPr="0054286C" w:rsidRDefault="0085074D" w:rsidP="00A55140">
            <w:pPr>
              <w:pStyle w:val="Default"/>
              <w:spacing w:line="276" w:lineRule="auto"/>
              <w:rPr>
                <w:color w:val="515151" w:themeColor="text1"/>
              </w:rPr>
            </w:pPr>
            <w:r w:rsidRPr="0054286C">
              <w:rPr>
                <w:color w:val="515151" w:themeColor="text1"/>
              </w:rPr>
              <w:t xml:space="preserve">Goal 3, Target 3.9: Reduction of indoor air pollution </w:t>
            </w:r>
          </w:p>
          <w:p w14:paraId="17320340" w14:textId="77777777" w:rsidR="0085074D" w:rsidRDefault="0085074D" w:rsidP="00A55140">
            <w:pPr>
              <w:spacing w:line="276" w:lineRule="auto"/>
            </w:pPr>
          </w:p>
        </w:tc>
        <w:tc>
          <w:tcPr>
            <w:tcW w:w="2279" w:type="pct"/>
          </w:tcPr>
          <w:p w14:paraId="74B3677E" w14:textId="515F9ADE" w:rsidR="0085074D" w:rsidRPr="00F10205" w:rsidRDefault="00F12D94" w:rsidP="0085074D">
            <w:pPr>
              <w:rPr>
                <w:sz w:val="20"/>
              </w:rPr>
            </w:pPr>
            <w:r w:rsidRPr="00F10205">
              <w:rPr>
                <w:sz w:val="20"/>
              </w:rPr>
              <w:t>Construction of 10,000 biogas units under the project until 20</w:t>
            </w:r>
            <w:r w:rsidR="005346D7">
              <w:rPr>
                <w:sz w:val="20"/>
              </w:rPr>
              <w:t>16</w:t>
            </w:r>
          </w:p>
        </w:tc>
        <w:tc>
          <w:tcPr>
            <w:tcW w:w="1618" w:type="pct"/>
          </w:tcPr>
          <w:p w14:paraId="21964449" w14:textId="40D953AE" w:rsidR="0085074D" w:rsidRPr="00F10205" w:rsidRDefault="002F6E36" w:rsidP="0085074D">
            <w:pPr>
              <w:rPr>
                <w:sz w:val="20"/>
              </w:rPr>
            </w:pPr>
            <w:r w:rsidRPr="00C10C91">
              <w:rPr>
                <w:color w:val="auto"/>
                <w:sz w:val="20"/>
              </w:rPr>
              <w:t>C</w:t>
            </w:r>
            <w:r w:rsidR="00DA3279" w:rsidRPr="00C10C91">
              <w:rPr>
                <w:color w:val="auto"/>
                <w:sz w:val="20"/>
              </w:rPr>
              <w:t xml:space="preserve">onstruction of </w:t>
            </w:r>
            <w:r w:rsidR="00AE52C1" w:rsidRPr="00C10C91">
              <w:rPr>
                <w:color w:val="auto"/>
                <w:sz w:val="20"/>
              </w:rPr>
              <w:t>796</w:t>
            </w:r>
            <w:r w:rsidRPr="00C10C91">
              <w:rPr>
                <w:color w:val="auto"/>
                <w:sz w:val="20"/>
              </w:rPr>
              <w:t xml:space="preserve"> biogas units</w:t>
            </w:r>
            <w:r w:rsidR="00275DEA" w:rsidRPr="00C10C91">
              <w:rPr>
                <w:color w:val="auto"/>
                <w:sz w:val="20"/>
              </w:rPr>
              <w:t xml:space="preserve">, </w:t>
            </w:r>
            <w:r w:rsidR="00DA3279" w:rsidRPr="00C10C91">
              <w:rPr>
                <w:color w:val="auto"/>
                <w:sz w:val="20"/>
              </w:rPr>
              <w:t xml:space="preserve">perceived improvement of air quality for </w:t>
            </w:r>
            <w:r w:rsidR="00C10C91" w:rsidRPr="00C10C91">
              <w:rPr>
                <w:rFonts w:asciiTheme="minorHAnsi" w:hAnsiTheme="minorHAnsi"/>
                <w:sz w:val="20"/>
              </w:rPr>
              <w:t>91</w:t>
            </w:r>
            <w:r w:rsidR="00C10C91" w:rsidRPr="00C10C91">
              <w:rPr>
                <w:rFonts w:asciiTheme="minorHAnsi" w:hAnsiTheme="minorHAnsi"/>
              </w:rPr>
              <w:t>%</w:t>
            </w:r>
            <w:r w:rsidR="00C10C91" w:rsidRPr="00C10C91">
              <w:rPr>
                <w:rStyle w:val="FootnoteReference"/>
                <w:rFonts w:asciiTheme="minorHAnsi" w:hAnsiTheme="minorHAnsi"/>
              </w:rPr>
              <w:footnoteReference w:id="7"/>
            </w:r>
            <w:r w:rsidR="00C10C91" w:rsidRPr="00C10C91">
              <w:rPr>
                <w:rFonts w:asciiTheme="minorHAnsi" w:hAnsiTheme="minorHAnsi"/>
              </w:rPr>
              <w:t xml:space="preserve"> </w:t>
            </w:r>
            <w:r w:rsidR="00DA3279" w:rsidRPr="00C10C91">
              <w:rPr>
                <w:color w:val="auto"/>
                <w:sz w:val="20"/>
              </w:rPr>
              <w:t>of the installed units</w:t>
            </w:r>
          </w:p>
        </w:tc>
      </w:tr>
      <w:tr w:rsidR="0085074D" w:rsidRPr="001673A1" w14:paraId="256DF679" w14:textId="77777777" w:rsidTr="00A55140">
        <w:trPr>
          <w:trHeight w:val="494"/>
        </w:trPr>
        <w:tc>
          <w:tcPr>
            <w:tcW w:w="1103" w:type="pct"/>
            <w:vAlign w:val="top"/>
          </w:tcPr>
          <w:p w14:paraId="7E7D644E" w14:textId="77777777" w:rsidR="0085074D" w:rsidRPr="0054286C" w:rsidRDefault="0085074D" w:rsidP="00A55140">
            <w:pPr>
              <w:pStyle w:val="Default"/>
              <w:spacing w:line="276" w:lineRule="auto"/>
              <w:rPr>
                <w:color w:val="515151" w:themeColor="text1"/>
                <w:szCs w:val="20"/>
              </w:rPr>
            </w:pPr>
            <w:r w:rsidRPr="0054286C">
              <w:rPr>
                <w:color w:val="515151" w:themeColor="text1"/>
                <w:szCs w:val="20"/>
              </w:rPr>
              <w:t>Goal 7, Target 7.1: Availability of affordable and clean energy</w:t>
            </w:r>
          </w:p>
          <w:p w14:paraId="2884E9FF" w14:textId="77777777" w:rsidR="0085074D" w:rsidRDefault="0085074D" w:rsidP="00A55140">
            <w:pPr>
              <w:spacing w:line="276" w:lineRule="auto"/>
            </w:pPr>
          </w:p>
        </w:tc>
        <w:tc>
          <w:tcPr>
            <w:tcW w:w="2279" w:type="pct"/>
          </w:tcPr>
          <w:p w14:paraId="0E11A897" w14:textId="34526359" w:rsidR="0085074D" w:rsidRPr="00F10205" w:rsidRDefault="00DA3279" w:rsidP="0085074D">
            <w:pPr>
              <w:rPr>
                <w:sz w:val="20"/>
              </w:rPr>
            </w:pPr>
            <w:r w:rsidRPr="00DA3279">
              <w:rPr>
                <w:sz w:val="20"/>
              </w:rPr>
              <w:t>Commissioned biogas units (10,000 units in total) have an overall maximal thermal capacity of 33.20 MW.</w:t>
            </w:r>
          </w:p>
        </w:tc>
        <w:tc>
          <w:tcPr>
            <w:tcW w:w="1618" w:type="pct"/>
          </w:tcPr>
          <w:p w14:paraId="567D713C" w14:textId="58FA3736" w:rsidR="0085074D" w:rsidRPr="00F10205" w:rsidRDefault="00F10205" w:rsidP="0085074D">
            <w:pPr>
              <w:rPr>
                <w:sz w:val="20"/>
              </w:rPr>
            </w:pPr>
            <w:r w:rsidRPr="00F10205">
              <w:rPr>
                <w:sz w:val="20"/>
              </w:rPr>
              <w:t>2</w:t>
            </w:r>
            <w:r w:rsidR="005D58A7">
              <w:rPr>
                <w:sz w:val="20"/>
              </w:rPr>
              <w:t>.</w:t>
            </w:r>
            <w:r w:rsidR="00AE52C1">
              <w:rPr>
                <w:sz w:val="20"/>
              </w:rPr>
              <w:t>641</w:t>
            </w:r>
            <w:r>
              <w:rPr>
                <w:sz w:val="20"/>
              </w:rPr>
              <w:t xml:space="preserve"> MW installed thermal capacity</w:t>
            </w:r>
          </w:p>
        </w:tc>
      </w:tr>
      <w:tr w:rsidR="0085074D" w:rsidRPr="001673A1" w14:paraId="10DCDE73" w14:textId="77777777" w:rsidTr="00A55140">
        <w:trPr>
          <w:trHeight w:val="494"/>
        </w:trPr>
        <w:tc>
          <w:tcPr>
            <w:tcW w:w="1103" w:type="pct"/>
            <w:vAlign w:val="top"/>
          </w:tcPr>
          <w:p w14:paraId="1CDCEFBE" w14:textId="77777777" w:rsidR="0085074D" w:rsidRPr="0054286C" w:rsidRDefault="0085074D" w:rsidP="00A55140">
            <w:pPr>
              <w:pStyle w:val="Default"/>
              <w:spacing w:line="276" w:lineRule="auto"/>
              <w:rPr>
                <w:color w:val="515151" w:themeColor="text1"/>
              </w:rPr>
            </w:pPr>
            <w:r w:rsidRPr="0054286C">
              <w:rPr>
                <w:color w:val="515151" w:themeColor="text1"/>
              </w:rPr>
              <w:t xml:space="preserve">Goal 8, Target 8.5 </w:t>
            </w:r>
          </w:p>
          <w:p w14:paraId="24F1083D" w14:textId="62E61B98" w:rsidR="0085074D" w:rsidRPr="001673A1" w:rsidRDefault="0085074D" w:rsidP="00A55140">
            <w:pPr>
              <w:spacing w:line="276" w:lineRule="auto"/>
            </w:pPr>
            <w:r w:rsidRPr="0054286C">
              <w:rPr>
                <w:rFonts w:cs="Verdana"/>
                <w:color w:val="515151" w:themeColor="text1"/>
                <w:sz w:val="20"/>
                <w:lang w:val="en-GB"/>
                <w14:cntxtAlts w14:val="0"/>
              </w:rPr>
              <w:t>Achieve decent work and employment</w:t>
            </w:r>
          </w:p>
        </w:tc>
        <w:tc>
          <w:tcPr>
            <w:tcW w:w="2279" w:type="pct"/>
          </w:tcPr>
          <w:p w14:paraId="1D987135" w14:textId="780F7BA7" w:rsidR="0085074D" w:rsidRPr="00911873" w:rsidRDefault="00F12D94" w:rsidP="00F12D94">
            <w:pPr>
              <w:rPr>
                <w:sz w:val="20"/>
              </w:rPr>
            </w:pPr>
            <w:r w:rsidRPr="00911873">
              <w:rPr>
                <w:sz w:val="20"/>
              </w:rPr>
              <w:t>Depending on implementation plan, &gt; 60 masons trained and sub-contracted by SES</w:t>
            </w:r>
          </w:p>
        </w:tc>
        <w:tc>
          <w:tcPr>
            <w:tcW w:w="1618" w:type="pct"/>
          </w:tcPr>
          <w:p w14:paraId="74675FDE" w14:textId="4D2503E3" w:rsidR="00251389" w:rsidRPr="00911873" w:rsidRDefault="00251389" w:rsidP="00251389">
            <w:pPr>
              <w:rPr>
                <w:sz w:val="20"/>
              </w:rPr>
            </w:pPr>
            <w:r w:rsidRPr="00911873">
              <w:rPr>
                <w:sz w:val="20"/>
              </w:rPr>
              <w:t>7 handyman became masons during MP</w:t>
            </w:r>
          </w:p>
          <w:p w14:paraId="19DEBBF1" w14:textId="03007A2F" w:rsidR="0085074D" w:rsidRPr="00911873" w:rsidRDefault="00251389" w:rsidP="00BF3AFA">
            <w:r w:rsidRPr="00911873">
              <w:rPr>
                <w:sz w:val="20"/>
              </w:rPr>
              <w:t>40</w:t>
            </w:r>
            <w:r w:rsidR="00BF3AFA" w:rsidRPr="00911873">
              <w:rPr>
                <w:sz w:val="20"/>
              </w:rPr>
              <w:t xml:space="preserve"> People working for SES</w:t>
            </w:r>
            <w:r w:rsidRPr="00911873">
              <w:rPr>
                <w:sz w:val="20"/>
              </w:rPr>
              <w:t xml:space="preserve"> during MP</w:t>
            </w:r>
          </w:p>
        </w:tc>
      </w:tr>
      <w:tr w:rsidR="0085074D" w:rsidRPr="001673A1" w14:paraId="2CEA26A0" w14:textId="77777777" w:rsidTr="00A55140">
        <w:trPr>
          <w:trHeight w:val="494"/>
        </w:trPr>
        <w:tc>
          <w:tcPr>
            <w:tcW w:w="1103" w:type="pct"/>
            <w:vAlign w:val="top"/>
          </w:tcPr>
          <w:p w14:paraId="2DD8A437" w14:textId="77777777" w:rsidR="0085074D" w:rsidRPr="0054286C" w:rsidRDefault="0085074D" w:rsidP="00A55140">
            <w:pPr>
              <w:pStyle w:val="Default"/>
              <w:spacing w:line="276" w:lineRule="auto"/>
              <w:rPr>
                <w:color w:val="515151" w:themeColor="text1"/>
              </w:rPr>
            </w:pPr>
            <w:r w:rsidRPr="0054286C">
              <w:rPr>
                <w:color w:val="515151" w:themeColor="text1"/>
              </w:rPr>
              <w:t xml:space="preserve">Goal 17, Target 17.7 </w:t>
            </w:r>
          </w:p>
          <w:p w14:paraId="6B208E85" w14:textId="77777777" w:rsidR="0085074D" w:rsidRPr="0054286C" w:rsidRDefault="0085074D" w:rsidP="00A55140">
            <w:pPr>
              <w:pStyle w:val="Default"/>
              <w:spacing w:line="276" w:lineRule="auto"/>
              <w:rPr>
                <w:color w:val="515151" w:themeColor="text1"/>
                <w:szCs w:val="20"/>
              </w:rPr>
            </w:pPr>
            <w:r w:rsidRPr="0054286C">
              <w:rPr>
                <w:color w:val="515151" w:themeColor="text1"/>
                <w:szCs w:val="20"/>
              </w:rPr>
              <w:t xml:space="preserve">Transfer of an innovative and </w:t>
            </w:r>
            <w:r w:rsidRPr="0054286C">
              <w:rPr>
                <w:color w:val="515151" w:themeColor="text1"/>
                <w:szCs w:val="20"/>
              </w:rPr>
              <w:lastRenderedPageBreak/>
              <w:t xml:space="preserve">clean energy technology </w:t>
            </w:r>
          </w:p>
          <w:p w14:paraId="2A86CC99" w14:textId="77777777" w:rsidR="0085074D" w:rsidRPr="0085074D" w:rsidRDefault="0085074D" w:rsidP="00A55140">
            <w:pPr>
              <w:pStyle w:val="Default"/>
              <w:spacing w:line="276" w:lineRule="auto"/>
              <w:rPr>
                <w:color w:val="515151" w:themeColor="text1"/>
              </w:rPr>
            </w:pPr>
          </w:p>
        </w:tc>
        <w:tc>
          <w:tcPr>
            <w:tcW w:w="2279" w:type="pct"/>
          </w:tcPr>
          <w:p w14:paraId="4DD0685A" w14:textId="77777777" w:rsidR="00801F79" w:rsidRPr="00911873" w:rsidRDefault="00F12D94" w:rsidP="0085074D">
            <w:pPr>
              <w:rPr>
                <w:sz w:val="20"/>
              </w:rPr>
            </w:pPr>
            <w:r w:rsidRPr="00911873">
              <w:rPr>
                <w:sz w:val="20"/>
              </w:rPr>
              <w:lastRenderedPageBreak/>
              <w:t>10,000 biogas units under the project until 20</w:t>
            </w:r>
            <w:r w:rsidR="005346D7" w:rsidRPr="00911873">
              <w:rPr>
                <w:sz w:val="20"/>
              </w:rPr>
              <w:t>16</w:t>
            </w:r>
          </w:p>
          <w:p w14:paraId="1063E632" w14:textId="19899332" w:rsidR="0085074D" w:rsidRPr="00911873" w:rsidRDefault="00801F79" w:rsidP="0085074D">
            <w:pPr>
              <w:rPr>
                <w:sz w:val="20"/>
              </w:rPr>
            </w:pPr>
            <w:r w:rsidRPr="00911873">
              <w:rPr>
                <w:sz w:val="20"/>
              </w:rPr>
              <w:lastRenderedPageBreak/>
              <w:t>Depending on implementation plan, &gt; 60 masons trained and sub-contracted by SES</w:t>
            </w:r>
            <w:r w:rsidRPr="00911873" w:rsidDel="005346D7">
              <w:rPr>
                <w:sz w:val="20"/>
              </w:rPr>
              <w:t xml:space="preserve"> </w:t>
            </w:r>
          </w:p>
        </w:tc>
        <w:tc>
          <w:tcPr>
            <w:tcW w:w="1618" w:type="pct"/>
          </w:tcPr>
          <w:p w14:paraId="3C95C7EA" w14:textId="67775F9D" w:rsidR="00801F79" w:rsidRPr="00911873" w:rsidRDefault="00AE52C1" w:rsidP="00631CF5">
            <w:pPr>
              <w:rPr>
                <w:sz w:val="20"/>
              </w:rPr>
            </w:pPr>
            <w:r>
              <w:rPr>
                <w:sz w:val="20"/>
              </w:rPr>
              <w:lastRenderedPageBreak/>
              <w:t>796</w:t>
            </w:r>
            <w:r w:rsidR="00F10205" w:rsidRPr="00911873">
              <w:rPr>
                <w:sz w:val="20"/>
              </w:rPr>
              <w:t xml:space="preserve"> </w:t>
            </w:r>
            <w:r w:rsidR="00631CF5" w:rsidRPr="00911873">
              <w:rPr>
                <w:sz w:val="20"/>
              </w:rPr>
              <w:t>b</w:t>
            </w:r>
            <w:r w:rsidR="00F10205" w:rsidRPr="00911873">
              <w:rPr>
                <w:sz w:val="20"/>
              </w:rPr>
              <w:t xml:space="preserve">iogas </w:t>
            </w:r>
            <w:r w:rsidR="00631CF5" w:rsidRPr="00911873">
              <w:rPr>
                <w:sz w:val="20"/>
              </w:rPr>
              <w:t>units under the project until 2020</w:t>
            </w:r>
          </w:p>
          <w:p w14:paraId="6382D31F" w14:textId="3D01B51A" w:rsidR="0085074D" w:rsidRPr="00911873" w:rsidRDefault="00801F79" w:rsidP="00631CF5">
            <w:pPr>
              <w:rPr>
                <w:sz w:val="20"/>
              </w:rPr>
            </w:pPr>
            <w:r w:rsidRPr="00911873">
              <w:rPr>
                <w:sz w:val="20"/>
              </w:rPr>
              <w:t>40 People working for SES during MP</w:t>
            </w:r>
          </w:p>
        </w:tc>
      </w:tr>
    </w:tbl>
    <w:p w14:paraId="122A833A" w14:textId="77777777" w:rsidR="00816579" w:rsidRDefault="00816579" w:rsidP="00816579">
      <w:pPr>
        <w:rPr>
          <w:rFonts w:ascii="Avenir Book" w:eastAsia="MS Mincho" w:hAnsi="Avenir Book" w:cs="Arial"/>
          <w:b/>
        </w:rPr>
      </w:pPr>
    </w:p>
    <w:p w14:paraId="44237C19" w14:textId="3EA437CD" w:rsidR="00DA21F3" w:rsidRPr="00DA21F3" w:rsidRDefault="00DA21F3" w:rsidP="00DA21F3">
      <w:pPr>
        <w:rPr>
          <w:rFonts w:eastAsia="MS Mincho" w:cs="Arial"/>
          <w:szCs w:val="22"/>
        </w:rPr>
      </w:pPr>
      <w:bookmarkStart w:id="53" w:name="_Ref4665389"/>
      <w:r w:rsidRPr="00E74F04">
        <w:rPr>
          <w:rFonts w:eastAsia="MS Mincho" w:cs="Arial"/>
          <w:szCs w:val="22"/>
        </w:rPr>
        <w:t>The main reason for the difference</w:t>
      </w:r>
      <w:r w:rsidR="00967BDF">
        <w:rPr>
          <w:rFonts w:eastAsia="MS Mincho" w:cs="Arial"/>
          <w:szCs w:val="22"/>
        </w:rPr>
        <w:t>s</w:t>
      </w:r>
      <w:r w:rsidRPr="00E74F04">
        <w:rPr>
          <w:rFonts w:eastAsia="MS Mincho" w:cs="Arial"/>
          <w:szCs w:val="22"/>
        </w:rPr>
        <w:t xml:space="preserve"> is the number of commis</w:t>
      </w:r>
      <w:r>
        <w:rPr>
          <w:rFonts w:eastAsia="MS Mincho" w:cs="Arial"/>
          <w:szCs w:val="22"/>
        </w:rPr>
        <w:t xml:space="preserve">sioned biogas units during this </w:t>
      </w:r>
      <w:r w:rsidRPr="00E74F04">
        <w:rPr>
          <w:rFonts w:eastAsia="MS Mincho" w:cs="Arial"/>
          <w:szCs w:val="22"/>
        </w:rPr>
        <w:t>monitoring period, which is lower than the estimate within the PDD. Project participants assumed at the point of validation a faster development and commissioning of biogas units which was the basis for ex-ante calculation.</w:t>
      </w:r>
    </w:p>
    <w:p w14:paraId="46DA2AE2" w14:textId="77777777" w:rsidR="00DA21F3" w:rsidRDefault="00DA21F3" w:rsidP="009C150E"/>
    <w:p w14:paraId="03F8F7F4" w14:textId="7CFE679F" w:rsidR="00816579" w:rsidRPr="00DA21F3" w:rsidRDefault="009C150E" w:rsidP="009C150E">
      <w:pPr>
        <w:rPr>
          <w:i/>
        </w:rPr>
      </w:pPr>
      <w:r w:rsidRPr="00DA21F3">
        <w:rPr>
          <w:i/>
        </w:rPr>
        <w:t xml:space="preserve">E.5.1. </w:t>
      </w:r>
      <w:r w:rsidR="00816579" w:rsidRPr="00DA21F3">
        <w:rPr>
          <w:i/>
        </w:rPr>
        <w:t xml:space="preserve">Explanation of calculation of value estimated ex ante </w:t>
      </w:r>
      <w:bookmarkEnd w:id="53"/>
      <w:r w:rsidR="00816579" w:rsidRPr="00DA21F3">
        <w:rPr>
          <w:i/>
        </w:rPr>
        <w:t>calculation of approved PDD for this monitoring period</w:t>
      </w:r>
    </w:p>
    <w:p w14:paraId="21A556CA" w14:textId="77777777" w:rsidR="00DA21F3" w:rsidRDefault="00DA21F3" w:rsidP="00DA21F3"/>
    <w:p w14:paraId="2598B7E1" w14:textId="77777777" w:rsidR="007543E4" w:rsidRDefault="007543E4" w:rsidP="007543E4">
      <w:r>
        <w:rPr>
          <w:szCs w:val="22"/>
        </w:rPr>
        <w:t>Ex ante estimate based on PDD values adding prediction for 2019 and 2020. Estimation was based on assumption of building 10000 plants until 2016.</w:t>
      </w:r>
    </w:p>
    <w:p w14:paraId="014D01BE" w14:textId="4E210D76" w:rsidR="00816579" w:rsidRPr="003B1DEE" w:rsidRDefault="00816579" w:rsidP="00E51EF3"/>
    <w:p w14:paraId="02488F0C" w14:textId="00601ADD" w:rsidR="00816579" w:rsidRPr="003B1DEE" w:rsidRDefault="009C150E" w:rsidP="009C150E">
      <w:pPr>
        <w:pStyle w:val="Heading5"/>
      </w:pPr>
      <w:bookmarkStart w:id="54" w:name="_Toc40962789"/>
      <w:r>
        <w:t xml:space="preserve">E.6. </w:t>
      </w:r>
      <w:r w:rsidR="00816579" w:rsidRPr="00241108">
        <w:t xml:space="preserve">Remarks on </w:t>
      </w:r>
      <w:r w:rsidR="00816579" w:rsidRPr="002669DA">
        <w:t>increase in achieved SDG Impacts</w:t>
      </w:r>
      <w:r w:rsidR="00816579" w:rsidRPr="00241108">
        <w:t xml:space="preserve"> from estimated value in approved PDD</w:t>
      </w:r>
      <w:bookmarkEnd w:id="54"/>
    </w:p>
    <w:p w14:paraId="34A47B9B" w14:textId="20CC0AC2" w:rsidR="00816579" w:rsidRDefault="00816579" w:rsidP="00E51EF3"/>
    <w:p w14:paraId="4EC58014" w14:textId="73046D0A" w:rsidR="00D2565A" w:rsidRDefault="00D2565A" w:rsidP="00E51EF3">
      <w:r>
        <w:t>N.A.</w:t>
      </w:r>
    </w:p>
    <w:p w14:paraId="3DB68E07" w14:textId="1F736934" w:rsidR="00E51EF3" w:rsidRDefault="00E51EF3" w:rsidP="00E51EF3"/>
    <w:p w14:paraId="2997AE62" w14:textId="77777777" w:rsidR="00E51EF3" w:rsidRPr="003B1DEE" w:rsidRDefault="00E51EF3" w:rsidP="00E51EF3"/>
    <w:p w14:paraId="2526A9C9" w14:textId="76400D54" w:rsidR="00816579" w:rsidRDefault="009C150E" w:rsidP="009C150E">
      <w:pPr>
        <w:pStyle w:val="Heading4"/>
      </w:pPr>
      <w:bookmarkStart w:id="55" w:name="_Toc40962790"/>
      <w:bookmarkStart w:id="56" w:name="_Ref47706347"/>
      <w:bookmarkStart w:id="57" w:name="_Ref49860694"/>
      <w:r>
        <w:t xml:space="preserve">SECTION F. </w:t>
      </w:r>
      <w:r w:rsidR="00816579">
        <w:t>SAFEGUARDS REPORTING</w:t>
      </w:r>
      <w:bookmarkEnd w:id="55"/>
      <w:bookmarkEnd w:id="56"/>
      <w:bookmarkEnd w:id="57"/>
    </w:p>
    <w:p w14:paraId="574C3F40" w14:textId="08923D60" w:rsidR="00816579" w:rsidRDefault="00816579" w:rsidP="00E51EF3">
      <w:bookmarkStart w:id="58" w:name="_Toc40962791"/>
      <w:r w:rsidRPr="003B1DEE">
        <w:t>&gt;&gt;</w:t>
      </w:r>
    </w:p>
    <w:p w14:paraId="6D493216" w14:textId="098E9870" w:rsidR="00F04B1A" w:rsidRDefault="00F04B1A" w:rsidP="00E51EF3"/>
    <w:p w14:paraId="07FE0887" w14:textId="77777777" w:rsidR="00F04B1A" w:rsidRDefault="00F04B1A" w:rsidP="00F04B1A">
      <w:r>
        <w:t>N/A: No Safeguarding principles were added to the registered monitoring plan.</w:t>
      </w:r>
    </w:p>
    <w:p w14:paraId="3332238D" w14:textId="32DA2D71" w:rsidR="007718AE" w:rsidRPr="004E1A35" w:rsidRDefault="007718AE" w:rsidP="007718AE">
      <w:pPr>
        <w:jc w:val="both"/>
        <w:rPr>
          <w:rFonts w:cs="Arial"/>
          <w:szCs w:val="22"/>
        </w:rPr>
      </w:pPr>
    </w:p>
    <w:p w14:paraId="2A91505B" w14:textId="51BD7A46" w:rsidR="00E51EF3" w:rsidRPr="003B1DEE" w:rsidRDefault="00E51EF3" w:rsidP="00E51EF3">
      <w:pPr>
        <w:spacing w:line="276" w:lineRule="auto"/>
        <w:contextualSpacing w:val="0"/>
      </w:pPr>
    </w:p>
    <w:p w14:paraId="2323576D" w14:textId="754D6AC6" w:rsidR="00816579" w:rsidRPr="0037167F" w:rsidRDefault="009C150E" w:rsidP="009C150E">
      <w:pPr>
        <w:pStyle w:val="Heading4"/>
      </w:pPr>
      <w:bookmarkStart w:id="59" w:name="_Toc40962792"/>
      <w:bookmarkStart w:id="60" w:name="_Ref47706354"/>
      <w:bookmarkStart w:id="61" w:name="_Ref49860701"/>
      <w:bookmarkEnd w:id="58"/>
      <w:r>
        <w:t xml:space="preserve">SECTION G. </w:t>
      </w:r>
      <w:r w:rsidR="00816579">
        <w:t>STAK</w:t>
      </w:r>
      <w:r w:rsidR="00816579" w:rsidRPr="00241108">
        <w:t>EHOLDER INPUTS AND LEGAL DISPUTES</w:t>
      </w:r>
      <w:bookmarkEnd w:id="59"/>
      <w:bookmarkEnd w:id="60"/>
      <w:bookmarkEnd w:id="61"/>
      <w:r w:rsidR="00816579" w:rsidRPr="00241108">
        <w:t xml:space="preserve"> </w:t>
      </w:r>
    </w:p>
    <w:p w14:paraId="1DDDB23D" w14:textId="32E3FD77" w:rsidR="00816579" w:rsidRPr="002C0D50" w:rsidRDefault="009C150E" w:rsidP="009C150E">
      <w:pPr>
        <w:pStyle w:val="Heading5"/>
      </w:pPr>
      <w:bookmarkStart w:id="62" w:name="_Toc40962793"/>
      <w:r>
        <w:t xml:space="preserve">G.1. </w:t>
      </w:r>
      <w:r w:rsidR="00816579" w:rsidRPr="002C0D50">
        <w:t>List all Inputs and Grievances which have been received via the Continuous Input and Grievance Mechanism together with their respective responses/mitigations.</w:t>
      </w:r>
      <w:bookmarkEnd w:id="62"/>
      <w:r w:rsidR="00816579" w:rsidRPr="002C0D50">
        <w:t xml:space="preserve"> </w:t>
      </w:r>
    </w:p>
    <w:p w14:paraId="5D0B8621" w14:textId="5E6C9CD2" w:rsidR="00816579" w:rsidRDefault="00816579" w:rsidP="00E51EF3">
      <w:r w:rsidRPr="003B1DEE">
        <w:t>&gt;&gt;</w:t>
      </w:r>
    </w:p>
    <w:p w14:paraId="07C8FC12" w14:textId="00B1AEFE" w:rsidR="007718AE" w:rsidRPr="003B1DEE" w:rsidRDefault="007718AE" w:rsidP="00E51EF3">
      <w:r>
        <w:t xml:space="preserve">No </w:t>
      </w:r>
      <w:r w:rsidRPr="00030024">
        <w:t>disputes, inputs and comments received via the approved CIGM</w:t>
      </w:r>
      <w:r>
        <w:t xml:space="preserve"> during the monitoring period.</w:t>
      </w:r>
    </w:p>
    <w:p w14:paraId="1E259421" w14:textId="6B8281F3" w:rsidR="00816579" w:rsidRPr="002C0D50" w:rsidRDefault="009C150E" w:rsidP="009C150E">
      <w:pPr>
        <w:pStyle w:val="Heading5"/>
      </w:pPr>
      <w:r>
        <w:lastRenderedPageBreak/>
        <w:t xml:space="preserve">G.2. </w:t>
      </w:r>
      <w:r w:rsidR="00816579" w:rsidRPr="00ED2FE4">
        <w:t xml:space="preserve">Report on any stakeholder </w:t>
      </w:r>
      <w:r w:rsidR="00816579" w:rsidRPr="002C0D50">
        <w:t>mitigations that were agreed to be monitored.</w:t>
      </w:r>
      <w:r w:rsidR="00816579" w:rsidRPr="00ED2FE4">
        <w:t xml:space="preserve"> </w:t>
      </w:r>
    </w:p>
    <w:p w14:paraId="22B07E4C" w14:textId="53C79678" w:rsidR="00816579" w:rsidRDefault="00816579" w:rsidP="00E51EF3">
      <w:r w:rsidRPr="003B1DEE">
        <w:t>&gt;&gt;</w:t>
      </w:r>
    </w:p>
    <w:p w14:paraId="2AE44A4B" w14:textId="02A10E34" w:rsidR="007718AE" w:rsidRPr="003B1DEE" w:rsidRDefault="007718AE" w:rsidP="00E51EF3">
      <w:r w:rsidRPr="00D02D2E">
        <w:t>No stakeholder mitigations were agreed to be monitored during the monitoring period</w:t>
      </w:r>
      <w:r>
        <w:t>.</w:t>
      </w:r>
    </w:p>
    <w:p w14:paraId="67E9E7F3" w14:textId="19F73298" w:rsidR="00816579" w:rsidRPr="0076604A" w:rsidRDefault="009C150E" w:rsidP="0076604A">
      <w:pPr>
        <w:pStyle w:val="Heading5"/>
      </w:pPr>
      <w:bookmarkStart w:id="63" w:name="_Toc40962796"/>
      <w:r w:rsidRPr="0076604A">
        <w:t xml:space="preserve">G.3. </w:t>
      </w:r>
      <w:r w:rsidR="00816579" w:rsidRPr="0076604A">
        <w:t>Provide details of any legal contest that has arisen with the project during the monitoring period</w:t>
      </w:r>
      <w:bookmarkEnd w:id="63"/>
    </w:p>
    <w:p w14:paraId="137433EA" w14:textId="1702C1C0" w:rsidR="00816579" w:rsidRDefault="00816579" w:rsidP="00E51EF3">
      <w:r w:rsidRPr="003B1DEE">
        <w:t>&gt;&gt;</w:t>
      </w:r>
    </w:p>
    <w:p w14:paraId="67AFC2A5" w14:textId="77777777" w:rsidR="007718AE" w:rsidRDefault="007718AE" w:rsidP="007718AE">
      <w:pPr>
        <w:pStyle w:val="AtxtHdgs"/>
        <w:jc w:val="both"/>
        <w:rPr>
          <w:rFonts w:ascii="Verdana" w:hAnsi="Verdana"/>
          <w:color w:val="4C4C49"/>
          <w:szCs w:val="22"/>
        </w:rPr>
      </w:pPr>
      <w:r w:rsidRPr="00D02D2E">
        <w:rPr>
          <w:rFonts w:ascii="Verdana" w:hAnsi="Verdana"/>
          <w:color w:val="4C4C49"/>
          <w:szCs w:val="22"/>
        </w:rPr>
        <w:t>No legal dispute or contest arose with the project during the monitoring period.</w:t>
      </w:r>
    </w:p>
    <w:p w14:paraId="5FCFAE0D" w14:textId="77777777" w:rsidR="007718AE" w:rsidRPr="00A55140" w:rsidRDefault="007718AE" w:rsidP="00E51EF3">
      <w:pPr>
        <w:rPr>
          <w:lang w:val="en-GB"/>
        </w:rPr>
      </w:pPr>
    </w:p>
    <w:p w14:paraId="6BF85B4B" w14:textId="77777777" w:rsidR="00816579" w:rsidRDefault="00816579" w:rsidP="00816579">
      <w:pPr>
        <w:pStyle w:val="AtxtHdgs"/>
        <w:jc w:val="both"/>
        <w:rPr>
          <w:rFonts w:ascii="Verdana" w:hAnsi="Verdana"/>
          <w:color w:val="4C4C49"/>
          <w:szCs w:val="22"/>
        </w:rPr>
      </w:pPr>
    </w:p>
    <w:p w14:paraId="31D32A6F" w14:textId="77777777" w:rsidR="00816579" w:rsidRDefault="00816579" w:rsidP="00816579">
      <w:pPr>
        <w:pStyle w:val="AtxtHdgs"/>
        <w:jc w:val="both"/>
        <w:rPr>
          <w:rFonts w:ascii="Verdana" w:hAnsi="Verdana"/>
          <w:color w:val="4C4C49"/>
          <w:szCs w:val="22"/>
        </w:rPr>
      </w:pPr>
    </w:p>
    <w:p w14:paraId="0D0FA43E" w14:textId="77777777" w:rsidR="00816579" w:rsidRDefault="00816579" w:rsidP="00816579">
      <w:pPr>
        <w:pStyle w:val="AtxtHdgs"/>
        <w:jc w:val="both"/>
        <w:rPr>
          <w:rFonts w:ascii="Verdana" w:hAnsi="Verdana"/>
          <w:color w:val="4C4C49"/>
          <w:szCs w:val="22"/>
        </w:rPr>
      </w:pPr>
    </w:p>
    <w:p w14:paraId="2C1C8FAE" w14:textId="77777777" w:rsidR="00816579" w:rsidRDefault="00816579" w:rsidP="00816579">
      <w:pPr>
        <w:pStyle w:val="AtxtHdgs"/>
        <w:jc w:val="both"/>
        <w:rPr>
          <w:rFonts w:ascii="Verdana" w:hAnsi="Verdana"/>
          <w:color w:val="4C4C49"/>
          <w:szCs w:val="22"/>
        </w:rPr>
      </w:pPr>
    </w:p>
    <w:p w14:paraId="5EC0BFAE" w14:textId="77777777" w:rsidR="00816579" w:rsidRDefault="00816579" w:rsidP="00816579">
      <w:pPr>
        <w:pStyle w:val="AtxtHdgs"/>
        <w:jc w:val="both"/>
        <w:rPr>
          <w:rFonts w:ascii="Verdana" w:hAnsi="Verdana"/>
          <w:color w:val="4C4C49"/>
          <w:szCs w:val="22"/>
        </w:rPr>
      </w:pPr>
    </w:p>
    <w:p w14:paraId="23865C44" w14:textId="77777777" w:rsidR="00816579" w:rsidRDefault="00816579" w:rsidP="00816579">
      <w:pPr>
        <w:pStyle w:val="AtxtHdgs"/>
        <w:jc w:val="both"/>
        <w:rPr>
          <w:rFonts w:ascii="Verdana" w:hAnsi="Verdana"/>
          <w:color w:val="4C4C49"/>
          <w:szCs w:val="22"/>
        </w:rPr>
      </w:pPr>
    </w:p>
    <w:p w14:paraId="748E5F50" w14:textId="77777777" w:rsidR="00816579" w:rsidRDefault="00816579" w:rsidP="00816579">
      <w:pPr>
        <w:pStyle w:val="AtxtHdgs"/>
        <w:jc w:val="both"/>
        <w:rPr>
          <w:rFonts w:ascii="Verdana" w:hAnsi="Verdana"/>
          <w:color w:val="4C4C49"/>
          <w:szCs w:val="22"/>
        </w:rPr>
      </w:pPr>
    </w:p>
    <w:p w14:paraId="14EB6C43" w14:textId="77777777" w:rsidR="00816579" w:rsidRDefault="00816579" w:rsidP="00816579">
      <w:pPr>
        <w:pStyle w:val="AtxtHdgs"/>
        <w:jc w:val="both"/>
        <w:rPr>
          <w:rFonts w:ascii="Verdana" w:hAnsi="Verdana"/>
          <w:color w:val="4C4C49"/>
          <w:szCs w:val="22"/>
        </w:rPr>
      </w:pPr>
    </w:p>
    <w:p w14:paraId="7A808DE2" w14:textId="77777777" w:rsidR="00816579" w:rsidRDefault="00816579" w:rsidP="004473A5">
      <w:pPr>
        <w:spacing w:line="276" w:lineRule="auto"/>
        <w:contextualSpacing w:val="0"/>
        <w:rPr>
          <w:lang w:val="en-GB"/>
        </w:rPr>
      </w:pPr>
    </w:p>
    <w:p w14:paraId="733BAF07" w14:textId="77777777" w:rsidR="00171813" w:rsidRDefault="00171813">
      <w:pPr>
        <w:spacing w:line="276" w:lineRule="auto"/>
        <w:contextualSpacing w:val="0"/>
        <w:rPr>
          <w:lang w:val="en-GB"/>
        </w:rPr>
      </w:pPr>
      <w:r>
        <w:rPr>
          <w:lang w:val="en-GB"/>
        </w:rPr>
        <w:br w:type="page"/>
      </w:r>
    </w:p>
    <w:p w14:paraId="05394E28" w14:textId="472BC27A" w:rsidR="009B77FD" w:rsidRDefault="009B77FD" w:rsidP="006D53FE">
      <w:pPr>
        <w:rPr>
          <w:b/>
          <w:bCs/>
          <w:lang w:val="en-GB"/>
        </w:rPr>
      </w:pPr>
      <w:r w:rsidRPr="009B77FD">
        <w:rPr>
          <w:b/>
          <w:bCs/>
          <w:lang w:val="en-GB"/>
        </w:rPr>
        <w:lastRenderedPageBreak/>
        <w:t>Revision History</w:t>
      </w:r>
    </w:p>
    <w:p w14:paraId="74D0A9B8" w14:textId="77777777" w:rsidR="00BB782E" w:rsidRPr="009B77FD" w:rsidRDefault="00BB782E" w:rsidP="006D53FE">
      <w:pPr>
        <w:rPr>
          <w:b/>
          <w:bCs/>
          <w:lang w:val="en-GB"/>
        </w:rPr>
      </w:pPr>
    </w:p>
    <w:tbl>
      <w:tblPr>
        <w:tblStyle w:val="GSTableSimple"/>
        <w:tblW w:w="0" w:type="auto"/>
        <w:tblLook w:val="04A0" w:firstRow="1" w:lastRow="0" w:firstColumn="1" w:lastColumn="0" w:noHBand="0" w:noVBand="1"/>
      </w:tblPr>
      <w:tblGrid>
        <w:gridCol w:w="1277"/>
        <w:gridCol w:w="1845"/>
        <w:gridCol w:w="6507"/>
      </w:tblGrid>
      <w:tr w:rsidR="009B77FD" w:rsidRPr="009B77FD" w14:paraId="530F4F00" w14:textId="77777777" w:rsidTr="009B77FD">
        <w:trPr>
          <w:cnfStyle w:val="100000000000" w:firstRow="1" w:lastRow="0" w:firstColumn="0" w:lastColumn="0" w:oddVBand="0" w:evenVBand="0" w:oddHBand="0" w:evenHBand="0" w:firstRowFirstColumn="0" w:firstRowLastColumn="0" w:lastRowFirstColumn="0" w:lastRowLastColumn="0"/>
        </w:trPr>
        <w:tc>
          <w:tcPr>
            <w:tcW w:w="1277" w:type="dxa"/>
          </w:tcPr>
          <w:p w14:paraId="0277F4F1" w14:textId="77777777" w:rsidR="009B77FD" w:rsidRPr="00BB782E" w:rsidRDefault="009B77FD" w:rsidP="009B2831">
            <w:pPr>
              <w:spacing w:after="200"/>
              <w:rPr>
                <w:b/>
                <w:bCs/>
              </w:rPr>
            </w:pPr>
            <w:r w:rsidRPr="00BB782E">
              <w:rPr>
                <w:b/>
                <w:bCs/>
              </w:rPr>
              <w:t>Version</w:t>
            </w:r>
          </w:p>
        </w:tc>
        <w:tc>
          <w:tcPr>
            <w:tcW w:w="1845" w:type="dxa"/>
          </w:tcPr>
          <w:p w14:paraId="4EFC7750" w14:textId="77777777" w:rsidR="009B77FD" w:rsidRPr="00BB782E" w:rsidRDefault="009B77FD" w:rsidP="009B2831">
            <w:pPr>
              <w:spacing w:after="200"/>
              <w:rPr>
                <w:b/>
                <w:bCs/>
              </w:rPr>
            </w:pPr>
            <w:r w:rsidRPr="00BB782E">
              <w:rPr>
                <w:b/>
                <w:bCs/>
              </w:rPr>
              <w:t>Date</w:t>
            </w:r>
          </w:p>
        </w:tc>
        <w:tc>
          <w:tcPr>
            <w:tcW w:w="6507" w:type="dxa"/>
          </w:tcPr>
          <w:p w14:paraId="467A0B46" w14:textId="77777777" w:rsidR="009B77FD" w:rsidRPr="00BB782E" w:rsidRDefault="009B77FD" w:rsidP="009B2831">
            <w:pPr>
              <w:spacing w:after="200"/>
              <w:rPr>
                <w:b/>
                <w:bCs/>
              </w:rPr>
            </w:pPr>
            <w:r w:rsidRPr="00BB782E">
              <w:rPr>
                <w:b/>
                <w:bCs/>
              </w:rPr>
              <w:t>Remarks</w:t>
            </w:r>
          </w:p>
        </w:tc>
      </w:tr>
      <w:tr w:rsidR="00E51EF3" w:rsidRPr="009B77FD" w14:paraId="0A8F4275" w14:textId="77777777" w:rsidTr="00BB782E">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0D569349" w14:textId="4586C59C" w:rsidR="00E51EF3" w:rsidRPr="009B77FD" w:rsidRDefault="00E51EF3" w:rsidP="00E51EF3">
            <w:pPr>
              <w:spacing w:after="200"/>
            </w:pPr>
            <w:r w:rsidRPr="00206434">
              <w:rPr>
                <w:rFonts w:asciiTheme="minorHAnsi" w:hAnsiTheme="minorHAnsi"/>
                <w:sz w:val="20"/>
              </w:rPr>
              <w:t>1.1</w:t>
            </w:r>
          </w:p>
        </w:tc>
        <w:tc>
          <w:tcPr>
            <w:tcW w:w="1845" w:type="dxa"/>
            <w:vAlign w:val="top"/>
          </w:tcPr>
          <w:p w14:paraId="4D5D1AA8" w14:textId="0B6CB1D9" w:rsidR="00E51EF3" w:rsidRPr="009B77FD" w:rsidRDefault="0056373F" w:rsidP="00E51EF3">
            <w:pPr>
              <w:spacing w:after="200"/>
            </w:pPr>
            <w:r>
              <w:rPr>
                <w:rFonts w:asciiTheme="minorHAnsi" w:hAnsiTheme="minorHAnsi"/>
                <w:sz w:val="20"/>
              </w:rPr>
              <w:t xml:space="preserve">14 </w:t>
            </w:r>
            <w:r w:rsidR="00E51EF3" w:rsidRPr="00206434">
              <w:rPr>
                <w:rFonts w:asciiTheme="minorHAnsi" w:hAnsiTheme="minorHAnsi"/>
                <w:sz w:val="20"/>
              </w:rPr>
              <w:t>October 2020</w:t>
            </w:r>
          </w:p>
        </w:tc>
        <w:tc>
          <w:tcPr>
            <w:tcW w:w="6507" w:type="dxa"/>
            <w:vAlign w:val="top"/>
          </w:tcPr>
          <w:p w14:paraId="5FAE8D1D"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Hyperlinked section summary to enable quick access to key sections</w:t>
            </w:r>
          </w:p>
          <w:p w14:paraId="46686C0C"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Key Project Information</w:t>
            </w:r>
          </w:p>
          <w:p w14:paraId="2F05F262"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Section for POA monitoring</w:t>
            </w:r>
          </w:p>
          <w:p w14:paraId="12307445"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Forward action request section</w:t>
            </w:r>
          </w:p>
          <w:p w14:paraId="67E9264C"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Improved Clarity on SDG contribution/SDG Impact term used throughout</w:t>
            </w:r>
          </w:p>
          <w:p w14:paraId="766F2A64"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safeguard reporting</w:t>
            </w:r>
          </w:p>
          <w:p w14:paraId="21BA370A"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Clarity on design changes</w:t>
            </w:r>
          </w:p>
          <w:p w14:paraId="7FDE4615"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Leakage section added for VER/CER projects</w:t>
            </w:r>
          </w:p>
          <w:p w14:paraId="0D339076" w14:textId="77777777" w:rsidR="00E51EF3" w:rsidRPr="0056373F" w:rsidRDefault="00E51EF3" w:rsidP="00E51EF3">
            <w:pPr>
              <w:spacing w:line="276" w:lineRule="auto"/>
              <w:rPr>
                <w:rFonts w:asciiTheme="minorHAnsi" w:hAnsiTheme="minorHAnsi"/>
                <w:color w:val="7C7C7C" w:themeColor="text1" w:themeTint="BF"/>
                <w:sz w:val="20"/>
                <w:szCs w:val="20"/>
              </w:rPr>
            </w:pPr>
            <w:r w:rsidRPr="0056373F">
              <w:rPr>
                <w:rFonts w:asciiTheme="minorHAnsi" w:hAnsiTheme="minorHAnsi"/>
                <w:color w:val="7C7C7C" w:themeColor="text1" w:themeTint="BF"/>
                <w:sz w:val="20"/>
                <w:szCs w:val="20"/>
              </w:rPr>
              <w:t>Addition of Comparison of monitored parameters with last monitoring period</w:t>
            </w:r>
          </w:p>
          <w:p w14:paraId="278A9552" w14:textId="01778E7D" w:rsidR="00E51EF3" w:rsidRPr="00E51EF3" w:rsidRDefault="00C639C4" w:rsidP="00E51EF3">
            <w:pPr>
              <w:pStyle w:val="TablesCellsBody"/>
              <w:spacing w:line="276" w:lineRule="auto"/>
              <w:rPr>
                <w:rFonts w:asciiTheme="minorHAnsi" w:hAnsiTheme="minorHAnsi"/>
              </w:rPr>
            </w:pPr>
            <w:r w:rsidRPr="0056373F">
              <w:rPr>
                <w:rFonts w:asciiTheme="minorHAnsi" w:hAnsiTheme="minorHAnsi"/>
              </w:rPr>
              <w:t xml:space="preserve">Provision of an </w:t>
            </w:r>
            <w:hyperlink r:id="rId17" w:history="1">
              <w:r w:rsidRPr="0056373F">
                <w:rPr>
                  <w:rStyle w:val="Hyperlink"/>
                  <w:sz w:val="20"/>
                </w:rPr>
                <w:t>accompanying Guide</w:t>
              </w:r>
            </w:hyperlink>
            <w:r w:rsidRPr="0056373F">
              <w:rPr>
                <w:rFonts w:asciiTheme="minorHAnsi" w:hAnsiTheme="minorHAnsi"/>
              </w:rPr>
              <w:t xml:space="preserve"> to help the user understand detailed rules and requirements</w:t>
            </w:r>
          </w:p>
        </w:tc>
      </w:tr>
      <w:tr w:rsidR="00E51EF3" w:rsidRPr="009B77FD" w14:paraId="204FB771" w14:textId="77777777" w:rsidTr="00BB782E">
        <w:tc>
          <w:tcPr>
            <w:tcW w:w="1277" w:type="dxa"/>
            <w:vAlign w:val="top"/>
          </w:tcPr>
          <w:p w14:paraId="34F549E9" w14:textId="6BF814B5" w:rsidR="00E51EF3" w:rsidRPr="009B77FD" w:rsidRDefault="00E51EF3" w:rsidP="00E51EF3">
            <w:pPr>
              <w:spacing w:after="200"/>
            </w:pPr>
            <w:r w:rsidRPr="00206434">
              <w:rPr>
                <w:rFonts w:asciiTheme="minorHAnsi" w:hAnsiTheme="minorHAnsi"/>
                <w:sz w:val="20"/>
              </w:rPr>
              <w:t>1</w:t>
            </w:r>
            <w:r>
              <w:rPr>
                <w:rFonts w:asciiTheme="minorHAnsi" w:hAnsiTheme="minorHAnsi"/>
                <w:sz w:val="20"/>
              </w:rPr>
              <w:t>.0</w:t>
            </w:r>
          </w:p>
        </w:tc>
        <w:tc>
          <w:tcPr>
            <w:tcW w:w="1845" w:type="dxa"/>
            <w:vAlign w:val="top"/>
          </w:tcPr>
          <w:p w14:paraId="41214D74" w14:textId="428666CF" w:rsidR="00E51EF3" w:rsidRPr="009B77FD" w:rsidRDefault="00E51EF3" w:rsidP="00E51EF3">
            <w:pPr>
              <w:spacing w:after="200"/>
            </w:pPr>
            <w:r w:rsidRPr="00206434">
              <w:rPr>
                <w:rFonts w:asciiTheme="minorHAnsi" w:hAnsiTheme="minorHAnsi"/>
                <w:sz w:val="20"/>
              </w:rPr>
              <w:t>1</w:t>
            </w:r>
            <w:r>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35A544DE" w14:textId="09B0640B" w:rsidR="00E51EF3" w:rsidRPr="009B77FD" w:rsidRDefault="00E51EF3" w:rsidP="00E51EF3">
            <w:pPr>
              <w:pStyle w:val="TablesCellsBody"/>
            </w:pPr>
            <w:r w:rsidRPr="00206434">
              <w:rPr>
                <w:rFonts w:asciiTheme="minorHAnsi" w:hAnsiTheme="minorHAnsi"/>
              </w:rPr>
              <w:t>Initial adoption</w:t>
            </w:r>
          </w:p>
        </w:tc>
      </w:tr>
    </w:tbl>
    <w:p w14:paraId="1B974581" w14:textId="004F747A" w:rsidR="009B77FD" w:rsidRPr="009B77FD" w:rsidRDefault="009B77FD" w:rsidP="006D53FE">
      <w:pPr>
        <w:rPr>
          <w:lang w:val="en-GB"/>
        </w:rPr>
      </w:pPr>
    </w:p>
    <w:sectPr w:rsidR="009B77FD" w:rsidRPr="009B77FD" w:rsidSect="00F92931">
      <w:headerReference w:type="even" r:id="rId18"/>
      <w:headerReference w:type="default" r:id="rId19"/>
      <w:footerReference w:type="even" r:id="rId20"/>
      <w:footerReference w:type="default" r:id="rId21"/>
      <w:headerReference w:type="first" r:id="rId22"/>
      <w:footerReference w:type="first" r:id="rId23"/>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3FC9" w14:textId="77777777" w:rsidR="00477CEE" w:rsidRDefault="00477CEE" w:rsidP="008C7A19">
      <w:r>
        <w:separator/>
      </w:r>
    </w:p>
    <w:p w14:paraId="33D4D857" w14:textId="77777777" w:rsidR="00477CEE" w:rsidRDefault="00477CEE"/>
  </w:endnote>
  <w:endnote w:type="continuationSeparator" w:id="0">
    <w:p w14:paraId="447D27BF" w14:textId="77777777" w:rsidR="00477CEE" w:rsidRDefault="00477CEE" w:rsidP="008C7A19">
      <w:r>
        <w:continuationSeparator/>
      </w:r>
    </w:p>
    <w:p w14:paraId="106AAD5F" w14:textId="77777777" w:rsidR="00477CEE" w:rsidRDefault="00477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altName w:val="Courier New"/>
    <w:charset w:val="4D"/>
    <w:family w:val="modern"/>
    <w:pitch w:val="fixed"/>
    <w:sig w:usb0="A00002EF" w:usb1="500078EB" w:usb2="00000000" w:usb3="00000000" w:csb0="00000097" w:csb1="00000000"/>
  </w:font>
  <w:font w:name="Arial">
    <w:panose1 w:val="020B0604020202020204"/>
    <w:charset w:val="00"/>
    <w:family w:val="swiss"/>
    <w:pitch w:val="variable"/>
    <w:sig w:usb0="E0002EFF" w:usb1="C000785B" w:usb2="00000009" w:usb3="00000000" w:csb0="000001FF" w:csb1="00000000"/>
  </w:font>
  <w:font w:name="Avenir Book">
    <w:altName w:val="Corbel"/>
    <w:charset w:val="00"/>
    <w:family w:val="auto"/>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B81D0C" w:rsidRDefault="00B81D0C" w:rsidP="00926E1B">
    <w:pPr>
      <w:framePr w:wrap="none" w:vAnchor="text" w:hAnchor="margin" w:xAlign="right" w:y="1"/>
    </w:pPr>
    <w:r>
      <w:fldChar w:fldCharType="begin"/>
    </w:r>
    <w:r>
      <w:instrText xml:space="preserve">PAGE  </w:instrText>
    </w:r>
    <w:r>
      <w:fldChar w:fldCharType="end"/>
    </w:r>
  </w:p>
  <w:p w14:paraId="06054D33" w14:textId="77777777" w:rsidR="00B81D0C" w:rsidRDefault="00B81D0C" w:rsidP="006E4980">
    <w:pPr>
      <w:ind w:right="360"/>
    </w:pPr>
  </w:p>
  <w:p w14:paraId="146F635D" w14:textId="77777777" w:rsidR="00B81D0C" w:rsidRDefault="00B81D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B81D0C" w:rsidRPr="00872BFA" w:rsidRDefault="00B81D0C" w:rsidP="006E3FE5">
    <w:pPr>
      <w:ind w:right="360"/>
      <w:rPr>
        <w:szCs w:val="20"/>
      </w:rPr>
    </w:pPr>
    <w:r>
      <w:rPr>
        <w:noProof/>
        <w:szCs w:val="20"/>
        <w:lang w:val="de-DE" w:eastAsia="de-DE"/>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B81D0C" w:rsidRPr="001F6981" w:rsidRDefault="00B81D0C" w:rsidP="00D061EC">
                          <w:pPr>
                            <w:ind w:right="360"/>
                            <w:rPr>
                              <w:i/>
                              <w:iCs/>
                              <w:szCs w:val="20"/>
                            </w:rPr>
                          </w:pPr>
                          <w:r w:rsidRPr="001F6981">
                            <w:rPr>
                              <w:i/>
                              <w:iCs/>
                              <w:szCs w:val="20"/>
                            </w:rPr>
                            <w:t>Climate Security and Sustainable Development</w:t>
                          </w:r>
                        </w:p>
                        <w:p w14:paraId="3DE1EA25" w14:textId="77777777" w:rsidR="00B81D0C" w:rsidRDefault="00B81D0C"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_x0000_s1029"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GK/EEICAAB5&#10;BAAADgAAAAAAAAAAAAAAAAAuAgAAZHJzL2Uyb0RvYy54bWxQSwECLQAUAAYACAAAACEAbtZfAeAA&#10;AAAJAQAADwAAAAAAAAAAAAAAAACcBAAAZHJzL2Rvd25yZXYueG1sUEsFBgAAAAAEAAQA8wAAAKkF&#10;AAAAAA==&#10;" fillcolor="white [3201]" stroked="f" strokeweight=".5pt">
              <v:textbox>
                <w:txbxContent>
                  <w:p w14:paraId="2CD9E2E3" w14:textId="77777777" w:rsidR="00B81D0C" w:rsidRPr="001F6981" w:rsidRDefault="00B81D0C" w:rsidP="00D061EC">
                    <w:pPr>
                      <w:ind w:right="360"/>
                      <w:rPr>
                        <w:i/>
                        <w:iCs/>
                        <w:szCs w:val="20"/>
                      </w:rPr>
                    </w:pPr>
                    <w:r w:rsidRPr="001F6981">
                      <w:rPr>
                        <w:i/>
                        <w:iCs/>
                        <w:szCs w:val="20"/>
                      </w:rPr>
                      <w:t>Climate Security and Sustainable Development</w:t>
                    </w:r>
                  </w:p>
                  <w:p w14:paraId="3DE1EA25" w14:textId="77777777" w:rsidR="00B81D0C" w:rsidRDefault="00B81D0C" w:rsidP="00D061EC"/>
                </w:txbxContent>
              </v:textbox>
            </v:shape>
          </w:pict>
        </mc:Fallback>
      </mc:AlternateContent>
    </w:r>
    <w:r>
      <w:rPr>
        <w:noProof/>
        <w:lang w:val="de-DE" w:eastAsia="de-DE"/>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5533F3AE" w:rsidR="00B81D0C" w:rsidRPr="00B01B0E" w:rsidRDefault="00B81D0C"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000B5B9E">
      <w:rPr>
        <w:rFonts w:asciiTheme="minorHAnsi" w:hAnsiTheme="minorHAnsi"/>
        <w:noProof/>
        <w:sz w:val="18"/>
        <w:szCs w:val="18"/>
      </w:rPr>
      <w:t>32</w:t>
    </w:r>
    <w:r w:rsidRPr="00B01B0E">
      <w:rPr>
        <w:rFonts w:asciiTheme="minorHAnsi" w:hAnsiTheme="minorHAnsi"/>
        <w:sz w:val="18"/>
        <w:szCs w:val="18"/>
      </w:rPr>
      <w:fldChar w:fldCharType="end"/>
    </w:r>
  </w:p>
  <w:p w14:paraId="295AF4EB" w14:textId="77777777" w:rsidR="00B81D0C" w:rsidRDefault="00B81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B81D0C" w:rsidRDefault="00B81D0C">
    <w:r w:rsidRPr="007B2737">
      <w:rPr>
        <w:noProof/>
        <w:lang w:val="de-DE" w:eastAsia="de-DE"/>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B81D0C" w:rsidRPr="001F6981" w:rsidRDefault="00B81D0C" w:rsidP="007B2737">
                          <w:pPr>
                            <w:ind w:right="360"/>
                            <w:rPr>
                              <w:i/>
                              <w:iCs/>
                              <w:szCs w:val="20"/>
                            </w:rPr>
                          </w:pPr>
                          <w:r w:rsidRPr="001F6981">
                            <w:rPr>
                              <w:i/>
                              <w:iCs/>
                              <w:szCs w:val="20"/>
                            </w:rPr>
                            <w:t>Climate Security and Sustainable Development</w:t>
                          </w:r>
                        </w:p>
                        <w:p w14:paraId="396CB80D" w14:textId="77777777" w:rsidR="00B81D0C" w:rsidRDefault="00B81D0C"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31"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MOjky9E&#10;AgAAgAQAAA4AAAAAAAAAAAAAAAAALgIAAGRycy9lMm9Eb2MueG1sUEsBAi0AFAAGAAgAAAAhAOhf&#10;XGDiAAAACgEAAA8AAAAAAAAAAAAAAAAAngQAAGRycy9kb3ducmV2LnhtbFBLBQYAAAAABAAEAPMA&#10;AACtBQAAAAA=&#10;" fillcolor="white [3201]" stroked="f" strokeweight=".5pt">
              <v:textbox>
                <w:txbxContent>
                  <w:p w14:paraId="2CB867A4" w14:textId="77777777" w:rsidR="00B81D0C" w:rsidRPr="001F6981" w:rsidRDefault="00B81D0C" w:rsidP="007B2737">
                    <w:pPr>
                      <w:ind w:right="360"/>
                      <w:rPr>
                        <w:i/>
                        <w:iCs/>
                        <w:szCs w:val="20"/>
                      </w:rPr>
                    </w:pPr>
                    <w:r w:rsidRPr="001F6981">
                      <w:rPr>
                        <w:i/>
                        <w:iCs/>
                        <w:szCs w:val="20"/>
                      </w:rPr>
                      <w:t>Climate Security and Sustainable Development</w:t>
                    </w:r>
                  </w:p>
                  <w:p w14:paraId="396CB80D" w14:textId="77777777" w:rsidR="00B81D0C" w:rsidRDefault="00B81D0C" w:rsidP="007B2737"/>
                </w:txbxContent>
              </v:textbox>
            </v:shape>
          </w:pict>
        </mc:Fallback>
      </mc:AlternateContent>
    </w:r>
    <w:r>
      <w:rPr>
        <w:noProof/>
        <w:lang w:val="de-DE" w:eastAsia="de-DE"/>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lang w:val="de-DE" w:eastAsia="de-DE"/>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E92C" w14:textId="77777777" w:rsidR="00477CEE" w:rsidRDefault="00477CEE" w:rsidP="008C7A19">
      <w:r>
        <w:separator/>
      </w:r>
    </w:p>
    <w:p w14:paraId="1CE5FA81" w14:textId="77777777" w:rsidR="00477CEE" w:rsidRDefault="00477CEE"/>
  </w:footnote>
  <w:footnote w:type="continuationSeparator" w:id="0">
    <w:p w14:paraId="37CAE4DF" w14:textId="77777777" w:rsidR="00477CEE" w:rsidRDefault="00477CEE" w:rsidP="008C7A19">
      <w:r>
        <w:continuationSeparator/>
      </w:r>
    </w:p>
    <w:p w14:paraId="7DBB1912" w14:textId="77777777" w:rsidR="00477CEE" w:rsidRDefault="00477CEE"/>
  </w:footnote>
  <w:footnote w:id="1">
    <w:p w14:paraId="00F8D04A" w14:textId="77777777" w:rsidR="00EA6A5B" w:rsidRPr="00362EE5" w:rsidRDefault="00EA6A5B" w:rsidP="00EA6A5B">
      <w:pPr>
        <w:pStyle w:val="FootnoteText"/>
        <w:rPr>
          <w:rFonts w:ascii="Symbol" w:hAnsi="Symbol"/>
        </w:rPr>
      </w:pPr>
      <w:r>
        <w:rPr>
          <w:rStyle w:val="FootnoteReference"/>
        </w:rPr>
        <w:footnoteRef/>
      </w:r>
      <w:r>
        <w:t xml:space="preserve"> V</w:t>
      </w:r>
      <w:r w:rsidRPr="00362EE5">
        <w:t xml:space="preserve">alue </w:t>
      </w:r>
      <w:r>
        <w:t>from survey w</w:t>
      </w:r>
      <w:r w:rsidRPr="00362EE5">
        <w:t>as 96</w:t>
      </w:r>
      <w:r>
        <w:t>%. S</w:t>
      </w:r>
      <w:r w:rsidRPr="00362EE5">
        <w:t>ince the required precision was not ac</w:t>
      </w:r>
      <w:r>
        <w:t>hieved, the lower bound value i</w:t>
      </w:r>
      <w:r w:rsidRPr="00362EE5">
        <w:t>s used</w:t>
      </w:r>
      <w:r>
        <w:t xml:space="preserve"> instead.</w:t>
      </w:r>
    </w:p>
  </w:footnote>
  <w:footnote w:id="2">
    <w:p w14:paraId="2347124B" w14:textId="77777777" w:rsidR="00B81D0C" w:rsidRDefault="00B81D0C" w:rsidP="00326F42">
      <w:pPr>
        <w:pStyle w:val="FootnoteText"/>
        <w:keepLines/>
        <w:numPr>
          <w:ilvl w:val="0"/>
          <w:numId w:val="20"/>
        </w:numPr>
        <w:spacing w:before="120" w:after="60"/>
        <w:contextualSpacing w:val="0"/>
        <w:jc w:val="both"/>
      </w:pPr>
      <w:r>
        <w:rPr>
          <w:rStyle w:val="FootnoteReference"/>
        </w:rPr>
        <w:footnoteRef/>
      </w:r>
      <w:r>
        <w:t xml:space="preserve"> Indicative description; design of the model may change over time  </w:t>
      </w:r>
    </w:p>
  </w:footnote>
  <w:footnote w:id="3">
    <w:p w14:paraId="53DE7025" w14:textId="77777777" w:rsidR="0094542C" w:rsidRPr="00362EE5" w:rsidRDefault="0094542C" w:rsidP="0094542C">
      <w:pPr>
        <w:pStyle w:val="FootnoteText"/>
        <w:rPr>
          <w:rFonts w:ascii="Symbol" w:hAnsi="Symbol"/>
        </w:rPr>
      </w:pPr>
      <w:r>
        <w:rPr>
          <w:rStyle w:val="FootnoteReference"/>
        </w:rPr>
        <w:footnoteRef/>
      </w:r>
      <w:r>
        <w:t xml:space="preserve"> V</w:t>
      </w:r>
      <w:r w:rsidRPr="00362EE5">
        <w:t xml:space="preserve">alue </w:t>
      </w:r>
      <w:r>
        <w:t>from survey w</w:t>
      </w:r>
      <w:r w:rsidRPr="00362EE5">
        <w:t>as 96</w:t>
      </w:r>
      <w:r>
        <w:t>%. S</w:t>
      </w:r>
      <w:r w:rsidRPr="00362EE5">
        <w:t>ince the required precision was not ac</w:t>
      </w:r>
      <w:r>
        <w:t>hieved, the lower bound value i</w:t>
      </w:r>
      <w:r w:rsidRPr="00362EE5">
        <w:t>s used</w:t>
      </w:r>
      <w:r>
        <w:t xml:space="preserve"> instead.</w:t>
      </w:r>
    </w:p>
  </w:footnote>
  <w:footnote w:id="4">
    <w:p w14:paraId="6B7B3D1B" w14:textId="367726EE" w:rsidR="00362EE5" w:rsidRPr="00362EE5" w:rsidRDefault="00362EE5">
      <w:pPr>
        <w:pStyle w:val="FootnoteText"/>
        <w:rPr>
          <w:rFonts w:ascii="Symbol" w:hAnsi="Symbol"/>
        </w:rPr>
      </w:pPr>
      <w:r>
        <w:rPr>
          <w:rStyle w:val="FootnoteReference"/>
        </w:rPr>
        <w:footnoteRef/>
      </w:r>
      <w:r>
        <w:t xml:space="preserve"> V</w:t>
      </w:r>
      <w:r w:rsidRPr="00362EE5">
        <w:t xml:space="preserve">alue </w:t>
      </w:r>
      <w:r>
        <w:t>from survey w</w:t>
      </w:r>
      <w:r w:rsidRPr="00362EE5">
        <w:t>as 96</w:t>
      </w:r>
      <w:r>
        <w:t>%. S</w:t>
      </w:r>
      <w:r w:rsidRPr="00362EE5">
        <w:t>ince the required precision was not ac</w:t>
      </w:r>
      <w:r>
        <w:t>hieved, the lower bound value i</w:t>
      </w:r>
      <w:r w:rsidRPr="00362EE5">
        <w:t>s used</w:t>
      </w:r>
      <w:r>
        <w:t xml:space="preserve"> instead.</w:t>
      </w:r>
    </w:p>
  </w:footnote>
  <w:footnote w:id="5">
    <w:p w14:paraId="55D11500" w14:textId="77777777" w:rsidR="00C10C91" w:rsidRPr="00362EE5" w:rsidRDefault="00C10C91" w:rsidP="00C10C91">
      <w:pPr>
        <w:pStyle w:val="FootnoteText"/>
        <w:rPr>
          <w:rFonts w:ascii="Symbol" w:hAnsi="Symbol"/>
        </w:rPr>
      </w:pPr>
      <w:r>
        <w:rPr>
          <w:rStyle w:val="FootnoteReference"/>
        </w:rPr>
        <w:footnoteRef/>
      </w:r>
      <w:r>
        <w:t xml:space="preserve"> V</w:t>
      </w:r>
      <w:r w:rsidRPr="00362EE5">
        <w:t xml:space="preserve">alue </w:t>
      </w:r>
      <w:r>
        <w:t>from survey w</w:t>
      </w:r>
      <w:r w:rsidRPr="00362EE5">
        <w:t>as 96</w:t>
      </w:r>
      <w:r>
        <w:t>%. S</w:t>
      </w:r>
      <w:r w:rsidRPr="00362EE5">
        <w:t>ince the required precision was not ac</w:t>
      </w:r>
      <w:r>
        <w:t>hieved, the lower bound value i</w:t>
      </w:r>
      <w:r w:rsidRPr="00362EE5">
        <w:t>s used</w:t>
      </w:r>
      <w:r>
        <w:t xml:space="preserve"> instead.</w:t>
      </w:r>
    </w:p>
  </w:footnote>
  <w:footnote w:id="6">
    <w:p w14:paraId="57F7F21A" w14:textId="77777777" w:rsidR="00EA6A5B" w:rsidRPr="00362EE5" w:rsidRDefault="00EA6A5B" w:rsidP="00EA6A5B">
      <w:pPr>
        <w:pStyle w:val="FootnoteText"/>
        <w:rPr>
          <w:rFonts w:ascii="Symbol" w:hAnsi="Symbol"/>
        </w:rPr>
      </w:pPr>
      <w:r>
        <w:rPr>
          <w:rStyle w:val="FootnoteReference"/>
        </w:rPr>
        <w:footnoteRef/>
      </w:r>
      <w:r>
        <w:t xml:space="preserve"> V</w:t>
      </w:r>
      <w:r w:rsidRPr="00362EE5">
        <w:t xml:space="preserve">alue </w:t>
      </w:r>
      <w:r>
        <w:t>from survey w</w:t>
      </w:r>
      <w:r w:rsidRPr="00362EE5">
        <w:t>as 96</w:t>
      </w:r>
      <w:r>
        <w:t>%. S</w:t>
      </w:r>
      <w:r w:rsidRPr="00362EE5">
        <w:t>ince the required precision was not ac</w:t>
      </w:r>
      <w:r>
        <w:t>hieved, the lower bound value i</w:t>
      </w:r>
      <w:r w:rsidRPr="00362EE5">
        <w:t>s used</w:t>
      </w:r>
      <w:r>
        <w:t xml:space="preserve"> instead.</w:t>
      </w:r>
    </w:p>
  </w:footnote>
  <w:footnote w:id="7">
    <w:p w14:paraId="774AF2CE" w14:textId="77777777" w:rsidR="00C10C91" w:rsidRPr="00362EE5" w:rsidRDefault="00C10C91" w:rsidP="00C10C91">
      <w:pPr>
        <w:pStyle w:val="FootnoteText"/>
        <w:rPr>
          <w:rFonts w:ascii="Symbol" w:hAnsi="Symbol"/>
        </w:rPr>
      </w:pPr>
      <w:r>
        <w:rPr>
          <w:rStyle w:val="FootnoteReference"/>
        </w:rPr>
        <w:footnoteRef/>
      </w:r>
      <w:r>
        <w:t xml:space="preserve"> V</w:t>
      </w:r>
      <w:r w:rsidRPr="00362EE5">
        <w:t xml:space="preserve">alue </w:t>
      </w:r>
      <w:r>
        <w:t>from survey w</w:t>
      </w:r>
      <w:r w:rsidRPr="00362EE5">
        <w:t>as 96</w:t>
      </w:r>
      <w:r>
        <w:t>%. S</w:t>
      </w:r>
      <w:r w:rsidRPr="00362EE5">
        <w:t>ince the required precision was not ac</w:t>
      </w:r>
      <w:r>
        <w:t>hieved, the lower bound value i</w:t>
      </w:r>
      <w:r w:rsidRPr="00362EE5">
        <w:t>s used</w:t>
      </w:r>
      <w:r>
        <w:t xml:space="preserve"> instead.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B81D0C" w:rsidRDefault="00B81D0C" w:rsidP="00926E1B">
    <w:pPr>
      <w:framePr w:wrap="none" w:vAnchor="text" w:hAnchor="margin" w:xAlign="right" w:y="1"/>
    </w:pPr>
    <w:r>
      <w:fldChar w:fldCharType="begin"/>
    </w:r>
    <w:r>
      <w:instrText xml:space="preserve">PAGE  </w:instrText>
    </w:r>
    <w:r>
      <w:fldChar w:fldCharType="end"/>
    </w:r>
  </w:p>
  <w:p w14:paraId="1703D2EC" w14:textId="77777777" w:rsidR="00B81D0C" w:rsidRDefault="00B81D0C" w:rsidP="00DB4ED0">
    <w:pPr>
      <w:ind w:right="360"/>
    </w:pPr>
  </w:p>
  <w:p w14:paraId="08BF73F1" w14:textId="77777777" w:rsidR="00B81D0C" w:rsidRDefault="00B81D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1DAE6CF4" w:rsidR="00B81D0C" w:rsidRPr="006C572D" w:rsidRDefault="00B81D0C"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Pr>
            <w:b/>
            <w:bCs/>
            <w:color w:val="00B9BD" w:themeColor="accent1"/>
            <w:sz w:val="16"/>
            <w:szCs w:val="16"/>
          </w:rPr>
          <w:t>TEMPLATE- Monitoring Report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B81D0C" w:rsidRPr="008F3380" w:rsidRDefault="00B81D0C" w:rsidP="00B01B0E">
    <w:pPr>
      <w:ind w:left="-1134"/>
    </w:pPr>
    <w:r>
      <w:rPr>
        <w:noProof/>
        <w:lang w:val="de-DE" w:eastAsia="de-DE"/>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B81D0C" w:rsidRPr="00EC5900" w:rsidRDefault="00B81D0C">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30"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" fillcolor="#00b9bd [3204]" stroked="f">
              <v:textbox>
                <w:txbxContent>
                  <w:p w14:paraId="1EC7EAC8" w14:textId="77777777" w:rsidR="00B81D0C" w:rsidRPr="00EC5900" w:rsidRDefault="00B81D0C">
                    <w:pPr>
                      <w:rPr>
                        <w:b/>
                        <w:bCs/>
                        <w:color w:val="FFFFFF" w:themeColor="background1"/>
                        <w:lang w:val="it-IT"/>
                      </w:rPr>
                    </w:pPr>
                    <w:r>
                      <w:rPr>
                        <w:b/>
                        <w:bCs/>
                        <w:color w:val="FFFFFF" w:themeColor="background1"/>
                        <w:lang w:val="it-IT"/>
                      </w:rPr>
                      <w:t>TEMPLATE</w:t>
                    </w:r>
                  </w:p>
                </w:txbxContent>
              </v:textbox>
            </v:shape>
          </w:pict>
        </mc:Fallback>
      </mc:AlternateContent>
    </w:r>
    <w:r>
      <w:rPr>
        <w:noProof/>
        <w:lang w:val="de-DE" w:eastAsia="de-DE"/>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de-DE" w:eastAsia="de-DE"/>
      </w:rPr>
      <w:drawing>
        <wp:inline distT="0" distB="0" distL="0" distR="0" wp14:anchorId="3B717A98" wp14:editId="0B78F4EF">
          <wp:extent cx="7593965" cy="1580606"/>
          <wp:effectExtent l="0" t="0" r="6985" b="635"/>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65pt;height:8.65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776CDE94"/>
    <w:lvl w:ilvl="0">
      <w:start w:val="1"/>
      <w:numFmt w:val="upperLetter"/>
      <w:pStyle w:val="SectionTitle"/>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7"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9" w15:restartNumberingAfterBreak="0">
    <w:nsid w:val="25765F2A"/>
    <w:multiLevelType w:val="hybridMultilevel"/>
    <w:tmpl w:val="75908D28"/>
    <w:lvl w:ilvl="0" w:tplc="0407000F">
      <w:start w:val="1"/>
      <w:numFmt w:val="decimal"/>
      <w:lvlText w:val="%1."/>
      <w:lvlJc w:val="left"/>
      <w:pPr>
        <w:ind w:left="720" w:hanging="360"/>
      </w:pPr>
      <w:rPr>
        <w:rFonts w:hint="default"/>
      </w:rPr>
    </w:lvl>
    <w:lvl w:ilvl="1" w:tplc="DED2CC86">
      <w:start w:val="3"/>
      <w:numFmt w:val="bullet"/>
      <w:lvlText w:val="-"/>
      <w:lvlJc w:val="left"/>
      <w:pPr>
        <w:ind w:left="1440" w:hanging="360"/>
      </w:pPr>
      <w:rPr>
        <w:rFonts w:ascii="Times New Roman" w:eastAsia="MS Mincho" w:hAnsi="Times New Roman"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FF29A4"/>
    <w:multiLevelType w:val="hybridMultilevel"/>
    <w:tmpl w:val="34BC8B72"/>
    <w:lvl w:ilvl="0" w:tplc="B99AD06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094547E"/>
    <w:multiLevelType w:val="hybridMultilevel"/>
    <w:tmpl w:val="3CC22A00"/>
    <w:lvl w:ilvl="0" w:tplc="B99AD06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3638431F"/>
    <w:multiLevelType w:val="hybridMultilevel"/>
    <w:tmpl w:val="A2FAE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A4A5F60"/>
    <w:multiLevelType w:val="hybridMultilevel"/>
    <w:tmpl w:val="75908D28"/>
    <w:lvl w:ilvl="0" w:tplc="0407000F">
      <w:start w:val="1"/>
      <w:numFmt w:val="decimal"/>
      <w:lvlText w:val="%1."/>
      <w:lvlJc w:val="left"/>
      <w:pPr>
        <w:ind w:left="720" w:hanging="360"/>
      </w:pPr>
      <w:rPr>
        <w:rFonts w:hint="default"/>
      </w:rPr>
    </w:lvl>
    <w:lvl w:ilvl="1" w:tplc="DED2CC86">
      <w:start w:val="3"/>
      <w:numFmt w:val="bullet"/>
      <w:lvlText w:val="-"/>
      <w:lvlJc w:val="left"/>
      <w:pPr>
        <w:ind w:left="1440" w:hanging="360"/>
      </w:pPr>
      <w:rPr>
        <w:rFonts w:ascii="Times New Roman" w:eastAsia="MS Mincho" w:hAnsi="Times New Roman"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6"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D47DF1"/>
    <w:multiLevelType w:val="hybridMultilevel"/>
    <w:tmpl w:val="FB2EB8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4BE7463"/>
    <w:multiLevelType w:val="hybridMultilevel"/>
    <w:tmpl w:val="1B4450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BA3735B"/>
    <w:multiLevelType w:val="multilevel"/>
    <w:tmpl w:val="2E5020FE"/>
    <w:numStyleLink w:val="GS-Parapgraphsnumbered"/>
  </w:abstractNum>
  <w:abstractNum w:abstractNumId="30" w15:restartNumberingAfterBreak="0">
    <w:nsid w:val="667E32E8"/>
    <w:multiLevelType w:val="multilevel"/>
    <w:tmpl w:val="03B69E74"/>
    <w:numStyleLink w:val="SDMTableBoxParaList"/>
  </w:abstractNum>
  <w:abstractNum w:abstractNumId="31" w15:restartNumberingAfterBreak="0">
    <w:nsid w:val="75934EF9"/>
    <w:multiLevelType w:val="hybridMultilevel"/>
    <w:tmpl w:val="3CC22A00"/>
    <w:lvl w:ilvl="0" w:tplc="B99AD06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C882F95"/>
    <w:multiLevelType w:val="hybridMultilevel"/>
    <w:tmpl w:val="2CFC0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D8D61A8"/>
    <w:multiLevelType w:val="multilevel"/>
    <w:tmpl w:val="AEA6BDB0"/>
    <w:lvl w:ilvl="0">
      <w:start w:val="1"/>
      <w:numFmt w:val="upperRoman"/>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34" w15:restartNumberingAfterBreak="0">
    <w:nsid w:val="7E474A0E"/>
    <w:multiLevelType w:val="hybridMultilevel"/>
    <w:tmpl w:val="998628CA"/>
    <w:lvl w:ilvl="0" w:tplc="04070017">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2"/>
  </w:num>
  <w:num w:numId="13">
    <w:abstractNumId w:val="18"/>
  </w:num>
  <w:num w:numId="14">
    <w:abstractNumId w:val="16"/>
  </w:num>
  <w:num w:numId="15">
    <w:abstractNumId w:val="29"/>
  </w:num>
  <w:num w:numId="16">
    <w:abstractNumId w:val="10"/>
  </w:num>
  <w:num w:numId="17">
    <w:abstractNumId w:val="14"/>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3"/>
  </w:num>
  <w:num w:numId="21">
    <w:abstractNumId w:val="26"/>
  </w:num>
  <w:num w:numId="22">
    <w:abstractNumId w:val="33"/>
  </w:num>
  <w:num w:numId="23">
    <w:abstractNumId w:val="15"/>
  </w:num>
  <w:num w:numId="24">
    <w:abstractNumId w:val="20"/>
  </w:num>
  <w:num w:numId="25">
    <w:abstractNumId w:val="21"/>
  </w:num>
  <w:num w:numId="26">
    <w:abstractNumId w:val="31"/>
  </w:num>
  <w:num w:numId="27">
    <w:abstractNumId w:val="34"/>
  </w:num>
  <w:num w:numId="28">
    <w:abstractNumId w:val="24"/>
  </w:num>
  <w:num w:numId="29">
    <w:abstractNumId w:val="19"/>
  </w:num>
  <w:num w:numId="30">
    <w:abstractNumId w:val="28"/>
  </w:num>
  <w:num w:numId="31">
    <w:abstractNumId w:val="23"/>
  </w:num>
  <w:num w:numId="32">
    <w:abstractNumId w:val="27"/>
  </w:num>
  <w:num w:numId="33">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A4"/>
    <w:rsid w:val="00000002"/>
    <w:rsid w:val="000026C5"/>
    <w:rsid w:val="0000384C"/>
    <w:rsid w:val="00003D6F"/>
    <w:rsid w:val="00006426"/>
    <w:rsid w:val="000075AF"/>
    <w:rsid w:val="00007B84"/>
    <w:rsid w:val="0002272D"/>
    <w:rsid w:val="00023280"/>
    <w:rsid w:val="0002378C"/>
    <w:rsid w:val="00024265"/>
    <w:rsid w:val="000247F2"/>
    <w:rsid w:val="00026D21"/>
    <w:rsid w:val="000274C3"/>
    <w:rsid w:val="00030446"/>
    <w:rsid w:val="00030A48"/>
    <w:rsid w:val="00031E9E"/>
    <w:rsid w:val="0003304E"/>
    <w:rsid w:val="000333C7"/>
    <w:rsid w:val="000359F4"/>
    <w:rsid w:val="00044765"/>
    <w:rsid w:val="00047217"/>
    <w:rsid w:val="00050063"/>
    <w:rsid w:val="000522F0"/>
    <w:rsid w:val="00057DF5"/>
    <w:rsid w:val="00063EB5"/>
    <w:rsid w:val="00065AF3"/>
    <w:rsid w:val="000810C1"/>
    <w:rsid w:val="000814FF"/>
    <w:rsid w:val="00084B59"/>
    <w:rsid w:val="00087119"/>
    <w:rsid w:val="00091AD9"/>
    <w:rsid w:val="00095CE3"/>
    <w:rsid w:val="000A0DC9"/>
    <w:rsid w:val="000A1813"/>
    <w:rsid w:val="000A35C3"/>
    <w:rsid w:val="000A4875"/>
    <w:rsid w:val="000A5885"/>
    <w:rsid w:val="000B5B9E"/>
    <w:rsid w:val="000B6474"/>
    <w:rsid w:val="000B7DA5"/>
    <w:rsid w:val="000C2A43"/>
    <w:rsid w:val="000D2FDC"/>
    <w:rsid w:val="000D47FE"/>
    <w:rsid w:val="000D6E99"/>
    <w:rsid w:val="000D7884"/>
    <w:rsid w:val="000D7D44"/>
    <w:rsid w:val="000D7EE9"/>
    <w:rsid w:val="000E111A"/>
    <w:rsid w:val="000F034B"/>
    <w:rsid w:val="0010454E"/>
    <w:rsid w:val="00110538"/>
    <w:rsid w:val="00112BD5"/>
    <w:rsid w:val="00116173"/>
    <w:rsid w:val="00120569"/>
    <w:rsid w:val="00122354"/>
    <w:rsid w:val="001230E1"/>
    <w:rsid w:val="00140122"/>
    <w:rsid w:val="00144616"/>
    <w:rsid w:val="0015085A"/>
    <w:rsid w:val="001577AB"/>
    <w:rsid w:val="00162234"/>
    <w:rsid w:val="001660DA"/>
    <w:rsid w:val="001663D9"/>
    <w:rsid w:val="00171813"/>
    <w:rsid w:val="00172D82"/>
    <w:rsid w:val="0017623D"/>
    <w:rsid w:val="00180D81"/>
    <w:rsid w:val="00181354"/>
    <w:rsid w:val="00187D08"/>
    <w:rsid w:val="001912A7"/>
    <w:rsid w:val="00194BC2"/>
    <w:rsid w:val="00195ABB"/>
    <w:rsid w:val="0019700D"/>
    <w:rsid w:val="001A0050"/>
    <w:rsid w:val="001A4056"/>
    <w:rsid w:val="001A689F"/>
    <w:rsid w:val="001B2CC4"/>
    <w:rsid w:val="001B309B"/>
    <w:rsid w:val="001B467E"/>
    <w:rsid w:val="001C6D0E"/>
    <w:rsid w:val="001D2EDD"/>
    <w:rsid w:val="001E11D0"/>
    <w:rsid w:val="001E6A43"/>
    <w:rsid w:val="001E7D8A"/>
    <w:rsid w:val="001F2770"/>
    <w:rsid w:val="001F5A51"/>
    <w:rsid w:val="001F6981"/>
    <w:rsid w:val="002035F7"/>
    <w:rsid w:val="00205071"/>
    <w:rsid w:val="00207CC8"/>
    <w:rsid w:val="00215AC7"/>
    <w:rsid w:val="00217217"/>
    <w:rsid w:val="00217F00"/>
    <w:rsid w:val="00230562"/>
    <w:rsid w:val="00232015"/>
    <w:rsid w:val="0023634A"/>
    <w:rsid w:val="00242B17"/>
    <w:rsid w:val="002502DD"/>
    <w:rsid w:val="002508F4"/>
    <w:rsid w:val="00251389"/>
    <w:rsid w:val="00252EB9"/>
    <w:rsid w:val="0025433D"/>
    <w:rsid w:val="00254AEF"/>
    <w:rsid w:val="00254C62"/>
    <w:rsid w:val="00255D8C"/>
    <w:rsid w:val="00255E44"/>
    <w:rsid w:val="002562D0"/>
    <w:rsid w:val="00256315"/>
    <w:rsid w:val="00256A6C"/>
    <w:rsid w:val="00275DEA"/>
    <w:rsid w:val="00277899"/>
    <w:rsid w:val="002805DC"/>
    <w:rsid w:val="00285911"/>
    <w:rsid w:val="0029674D"/>
    <w:rsid w:val="00296DC5"/>
    <w:rsid w:val="002A0A2A"/>
    <w:rsid w:val="002A0F33"/>
    <w:rsid w:val="002A44F4"/>
    <w:rsid w:val="002A5BC3"/>
    <w:rsid w:val="002B4300"/>
    <w:rsid w:val="002B4A1B"/>
    <w:rsid w:val="002B50AD"/>
    <w:rsid w:val="002B5E50"/>
    <w:rsid w:val="002C39B0"/>
    <w:rsid w:val="002D2459"/>
    <w:rsid w:val="002D3696"/>
    <w:rsid w:val="002D49B8"/>
    <w:rsid w:val="002D4C81"/>
    <w:rsid w:val="002D6690"/>
    <w:rsid w:val="002D6D9A"/>
    <w:rsid w:val="002E14BB"/>
    <w:rsid w:val="002E5A40"/>
    <w:rsid w:val="002E5DB5"/>
    <w:rsid w:val="002E6553"/>
    <w:rsid w:val="002F3F74"/>
    <w:rsid w:val="002F4151"/>
    <w:rsid w:val="002F6E36"/>
    <w:rsid w:val="003012F5"/>
    <w:rsid w:val="00301BEC"/>
    <w:rsid w:val="003033AA"/>
    <w:rsid w:val="00303D05"/>
    <w:rsid w:val="00303D6E"/>
    <w:rsid w:val="00305A97"/>
    <w:rsid w:val="00306F75"/>
    <w:rsid w:val="00315108"/>
    <w:rsid w:val="0032206F"/>
    <w:rsid w:val="00324B18"/>
    <w:rsid w:val="003250CD"/>
    <w:rsid w:val="00325887"/>
    <w:rsid w:val="00326F42"/>
    <w:rsid w:val="00341C1C"/>
    <w:rsid w:val="0034270A"/>
    <w:rsid w:val="00344999"/>
    <w:rsid w:val="00344E6A"/>
    <w:rsid w:val="003457C2"/>
    <w:rsid w:val="0034581C"/>
    <w:rsid w:val="00350D03"/>
    <w:rsid w:val="00354BD9"/>
    <w:rsid w:val="00357A49"/>
    <w:rsid w:val="00362288"/>
    <w:rsid w:val="00362EE5"/>
    <w:rsid w:val="00367DCF"/>
    <w:rsid w:val="00371AAD"/>
    <w:rsid w:val="003762B2"/>
    <w:rsid w:val="00376831"/>
    <w:rsid w:val="00381242"/>
    <w:rsid w:val="00381555"/>
    <w:rsid w:val="003842BC"/>
    <w:rsid w:val="003905E0"/>
    <w:rsid w:val="00390A80"/>
    <w:rsid w:val="00394A4D"/>
    <w:rsid w:val="00395992"/>
    <w:rsid w:val="003A543B"/>
    <w:rsid w:val="003B02ED"/>
    <w:rsid w:val="003C5387"/>
    <w:rsid w:val="003C74B1"/>
    <w:rsid w:val="003D3170"/>
    <w:rsid w:val="003D37DD"/>
    <w:rsid w:val="003D78AB"/>
    <w:rsid w:val="003D7C4A"/>
    <w:rsid w:val="003E1832"/>
    <w:rsid w:val="003E1EF0"/>
    <w:rsid w:val="003E2308"/>
    <w:rsid w:val="003E431C"/>
    <w:rsid w:val="003E4D37"/>
    <w:rsid w:val="003E6F11"/>
    <w:rsid w:val="003F2ECB"/>
    <w:rsid w:val="003F407B"/>
    <w:rsid w:val="003F4502"/>
    <w:rsid w:val="003F51CD"/>
    <w:rsid w:val="003F672B"/>
    <w:rsid w:val="003F79A1"/>
    <w:rsid w:val="00401533"/>
    <w:rsid w:val="00407130"/>
    <w:rsid w:val="00414D3B"/>
    <w:rsid w:val="00420BCD"/>
    <w:rsid w:val="00420D7B"/>
    <w:rsid w:val="00430D01"/>
    <w:rsid w:val="00442DEF"/>
    <w:rsid w:val="004473A5"/>
    <w:rsid w:val="00452510"/>
    <w:rsid w:val="0045722A"/>
    <w:rsid w:val="00460A48"/>
    <w:rsid w:val="00460D2E"/>
    <w:rsid w:val="00465B23"/>
    <w:rsid w:val="00467F04"/>
    <w:rsid w:val="004714F2"/>
    <w:rsid w:val="00472B8D"/>
    <w:rsid w:val="004733D4"/>
    <w:rsid w:val="00473FBE"/>
    <w:rsid w:val="00474F46"/>
    <w:rsid w:val="0047688F"/>
    <w:rsid w:val="00477CEE"/>
    <w:rsid w:val="00481573"/>
    <w:rsid w:val="004918C9"/>
    <w:rsid w:val="004950BB"/>
    <w:rsid w:val="004A4010"/>
    <w:rsid w:val="004A4E0B"/>
    <w:rsid w:val="004B2474"/>
    <w:rsid w:val="004B2B4C"/>
    <w:rsid w:val="004B4036"/>
    <w:rsid w:val="004B4E41"/>
    <w:rsid w:val="004B743A"/>
    <w:rsid w:val="004B75A2"/>
    <w:rsid w:val="004C32AF"/>
    <w:rsid w:val="004C3B1A"/>
    <w:rsid w:val="004C7F61"/>
    <w:rsid w:val="004D2804"/>
    <w:rsid w:val="004D3B79"/>
    <w:rsid w:val="004E0EAB"/>
    <w:rsid w:val="004F01F3"/>
    <w:rsid w:val="004F1FBA"/>
    <w:rsid w:val="004F2E51"/>
    <w:rsid w:val="0050038E"/>
    <w:rsid w:val="00504EA6"/>
    <w:rsid w:val="00504F64"/>
    <w:rsid w:val="005076F0"/>
    <w:rsid w:val="00517334"/>
    <w:rsid w:val="00520256"/>
    <w:rsid w:val="00523A5E"/>
    <w:rsid w:val="0053201C"/>
    <w:rsid w:val="005344A4"/>
    <w:rsid w:val="00534525"/>
    <w:rsid w:val="005346D7"/>
    <w:rsid w:val="00537FFA"/>
    <w:rsid w:val="0054286C"/>
    <w:rsid w:val="00544D39"/>
    <w:rsid w:val="0054763B"/>
    <w:rsid w:val="00551567"/>
    <w:rsid w:val="005567EB"/>
    <w:rsid w:val="005572AE"/>
    <w:rsid w:val="00557864"/>
    <w:rsid w:val="005603AE"/>
    <w:rsid w:val="0056373F"/>
    <w:rsid w:val="0056578E"/>
    <w:rsid w:val="0056643E"/>
    <w:rsid w:val="005700A3"/>
    <w:rsid w:val="0057406D"/>
    <w:rsid w:val="00574567"/>
    <w:rsid w:val="005906EB"/>
    <w:rsid w:val="005A19ED"/>
    <w:rsid w:val="005A434A"/>
    <w:rsid w:val="005B089A"/>
    <w:rsid w:val="005B270D"/>
    <w:rsid w:val="005B408A"/>
    <w:rsid w:val="005B5D81"/>
    <w:rsid w:val="005C0043"/>
    <w:rsid w:val="005C3277"/>
    <w:rsid w:val="005D1CA5"/>
    <w:rsid w:val="005D3504"/>
    <w:rsid w:val="005D3DDB"/>
    <w:rsid w:val="005D58A7"/>
    <w:rsid w:val="005E39D8"/>
    <w:rsid w:val="005E3BAB"/>
    <w:rsid w:val="005E56D6"/>
    <w:rsid w:val="005F4E84"/>
    <w:rsid w:val="005F65E0"/>
    <w:rsid w:val="00617B6E"/>
    <w:rsid w:val="00630842"/>
    <w:rsid w:val="0063193F"/>
    <w:rsid w:val="00631CF5"/>
    <w:rsid w:val="00633811"/>
    <w:rsid w:val="00635A56"/>
    <w:rsid w:val="00644BB7"/>
    <w:rsid w:val="00645B2A"/>
    <w:rsid w:val="0064613C"/>
    <w:rsid w:val="00651118"/>
    <w:rsid w:val="00651EA1"/>
    <w:rsid w:val="00654716"/>
    <w:rsid w:val="006607BC"/>
    <w:rsid w:val="006611FE"/>
    <w:rsid w:val="00665AA9"/>
    <w:rsid w:val="00672E18"/>
    <w:rsid w:val="00673824"/>
    <w:rsid w:val="00674989"/>
    <w:rsid w:val="00676DAF"/>
    <w:rsid w:val="0068201F"/>
    <w:rsid w:val="006824D1"/>
    <w:rsid w:val="00691694"/>
    <w:rsid w:val="00692518"/>
    <w:rsid w:val="00692947"/>
    <w:rsid w:val="006932CA"/>
    <w:rsid w:val="00695D96"/>
    <w:rsid w:val="006A2FAC"/>
    <w:rsid w:val="006B1CE7"/>
    <w:rsid w:val="006B37F3"/>
    <w:rsid w:val="006C572D"/>
    <w:rsid w:val="006D1E83"/>
    <w:rsid w:val="006D20D9"/>
    <w:rsid w:val="006D2F2C"/>
    <w:rsid w:val="006D53FE"/>
    <w:rsid w:val="006E1D75"/>
    <w:rsid w:val="006E3FE5"/>
    <w:rsid w:val="006E4258"/>
    <w:rsid w:val="006E4980"/>
    <w:rsid w:val="006E4BDF"/>
    <w:rsid w:val="006F1E95"/>
    <w:rsid w:val="006F3E5E"/>
    <w:rsid w:val="006F47AB"/>
    <w:rsid w:val="006F52DA"/>
    <w:rsid w:val="006F75D8"/>
    <w:rsid w:val="00700E2A"/>
    <w:rsid w:val="00700FDC"/>
    <w:rsid w:val="00703916"/>
    <w:rsid w:val="007216C7"/>
    <w:rsid w:val="007247F9"/>
    <w:rsid w:val="007336DA"/>
    <w:rsid w:val="00733861"/>
    <w:rsid w:val="00743552"/>
    <w:rsid w:val="007443DE"/>
    <w:rsid w:val="00744F34"/>
    <w:rsid w:val="007502EB"/>
    <w:rsid w:val="00750F10"/>
    <w:rsid w:val="007530C0"/>
    <w:rsid w:val="007543E4"/>
    <w:rsid w:val="007556B8"/>
    <w:rsid w:val="00756C70"/>
    <w:rsid w:val="007639F0"/>
    <w:rsid w:val="0076407F"/>
    <w:rsid w:val="00765E86"/>
    <w:rsid w:val="0076604A"/>
    <w:rsid w:val="007718AE"/>
    <w:rsid w:val="00775467"/>
    <w:rsid w:val="007779C9"/>
    <w:rsid w:val="007812EE"/>
    <w:rsid w:val="0079063C"/>
    <w:rsid w:val="00791122"/>
    <w:rsid w:val="00793CCD"/>
    <w:rsid w:val="00795912"/>
    <w:rsid w:val="007A43A9"/>
    <w:rsid w:val="007A6351"/>
    <w:rsid w:val="007A67D0"/>
    <w:rsid w:val="007B0AFB"/>
    <w:rsid w:val="007B2737"/>
    <w:rsid w:val="007B281F"/>
    <w:rsid w:val="007D142E"/>
    <w:rsid w:val="007D2F0B"/>
    <w:rsid w:val="007E23CD"/>
    <w:rsid w:val="007E245A"/>
    <w:rsid w:val="007E4B7E"/>
    <w:rsid w:val="007E6E61"/>
    <w:rsid w:val="007F1018"/>
    <w:rsid w:val="007F2B0E"/>
    <w:rsid w:val="007F2D8D"/>
    <w:rsid w:val="00801F79"/>
    <w:rsid w:val="0080416D"/>
    <w:rsid w:val="00805821"/>
    <w:rsid w:val="00810D9B"/>
    <w:rsid w:val="00813BDC"/>
    <w:rsid w:val="00815F2E"/>
    <w:rsid w:val="00816579"/>
    <w:rsid w:val="008179CB"/>
    <w:rsid w:val="00824BF8"/>
    <w:rsid w:val="008322C8"/>
    <w:rsid w:val="0083551F"/>
    <w:rsid w:val="00841049"/>
    <w:rsid w:val="008447C8"/>
    <w:rsid w:val="00846B3B"/>
    <w:rsid w:val="0084702D"/>
    <w:rsid w:val="0085074D"/>
    <w:rsid w:val="008565D9"/>
    <w:rsid w:val="008621EB"/>
    <w:rsid w:val="00862214"/>
    <w:rsid w:val="0086356F"/>
    <w:rsid w:val="00870EB1"/>
    <w:rsid w:val="00872BFA"/>
    <w:rsid w:val="00876776"/>
    <w:rsid w:val="008772B1"/>
    <w:rsid w:val="008843D4"/>
    <w:rsid w:val="00886640"/>
    <w:rsid w:val="00887036"/>
    <w:rsid w:val="008A09BB"/>
    <w:rsid w:val="008A2069"/>
    <w:rsid w:val="008A21FD"/>
    <w:rsid w:val="008A3D04"/>
    <w:rsid w:val="008B0FFF"/>
    <w:rsid w:val="008B266D"/>
    <w:rsid w:val="008B51A7"/>
    <w:rsid w:val="008B7334"/>
    <w:rsid w:val="008C7A19"/>
    <w:rsid w:val="008D3102"/>
    <w:rsid w:val="008D5E99"/>
    <w:rsid w:val="008D6DAE"/>
    <w:rsid w:val="008E1F4D"/>
    <w:rsid w:val="008E246B"/>
    <w:rsid w:val="008E24AE"/>
    <w:rsid w:val="008F115B"/>
    <w:rsid w:val="008F3380"/>
    <w:rsid w:val="008F3BFC"/>
    <w:rsid w:val="008F5BA4"/>
    <w:rsid w:val="00900920"/>
    <w:rsid w:val="00900D2B"/>
    <w:rsid w:val="00902FE5"/>
    <w:rsid w:val="00903871"/>
    <w:rsid w:val="00911873"/>
    <w:rsid w:val="00911DAA"/>
    <w:rsid w:val="00912984"/>
    <w:rsid w:val="00912AEB"/>
    <w:rsid w:val="0092116A"/>
    <w:rsid w:val="00921BAC"/>
    <w:rsid w:val="00924273"/>
    <w:rsid w:val="00926E1B"/>
    <w:rsid w:val="00930659"/>
    <w:rsid w:val="00931362"/>
    <w:rsid w:val="0093232F"/>
    <w:rsid w:val="009347B6"/>
    <w:rsid w:val="009376A3"/>
    <w:rsid w:val="00944107"/>
    <w:rsid w:val="009450D7"/>
    <w:rsid w:val="00945374"/>
    <w:rsid w:val="0094542C"/>
    <w:rsid w:val="0094569F"/>
    <w:rsid w:val="00945F17"/>
    <w:rsid w:val="009474C7"/>
    <w:rsid w:val="00947B25"/>
    <w:rsid w:val="00956232"/>
    <w:rsid w:val="00956C00"/>
    <w:rsid w:val="0096101A"/>
    <w:rsid w:val="009613AC"/>
    <w:rsid w:val="0096773B"/>
    <w:rsid w:val="00967804"/>
    <w:rsid w:val="00967BDF"/>
    <w:rsid w:val="00971778"/>
    <w:rsid w:val="009777A4"/>
    <w:rsid w:val="00980B70"/>
    <w:rsid w:val="00980BAF"/>
    <w:rsid w:val="00980D83"/>
    <w:rsid w:val="00982539"/>
    <w:rsid w:val="00982B72"/>
    <w:rsid w:val="009864AA"/>
    <w:rsid w:val="00987353"/>
    <w:rsid w:val="009900F2"/>
    <w:rsid w:val="00991401"/>
    <w:rsid w:val="0099229A"/>
    <w:rsid w:val="00992620"/>
    <w:rsid w:val="009A79DD"/>
    <w:rsid w:val="009B20DD"/>
    <w:rsid w:val="009B2831"/>
    <w:rsid w:val="009B599C"/>
    <w:rsid w:val="009B75F1"/>
    <w:rsid w:val="009B77FD"/>
    <w:rsid w:val="009C0570"/>
    <w:rsid w:val="009C150E"/>
    <w:rsid w:val="009C2182"/>
    <w:rsid w:val="009C365D"/>
    <w:rsid w:val="009C569D"/>
    <w:rsid w:val="009C72AA"/>
    <w:rsid w:val="009D22A9"/>
    <w:rsid w:val="009F0A48"/>
    <w:rsid w:val="009F2BB0"/>
    <w:rsid w:val="009F5A18"/>
    <w:rsid w:val="009F6BF9"/>
    <w:rsid w:val="00A0155E"/>
    <w:rsid w:val="00A118D5"/>
    <w:rsid w:val="00A264AA"/>
    <w:rsid w:val="00A274FD"/>
    <w:rsid w:val="00A30A73"/>
    <w:rsid w:val="00A317D9"/>
    <w:rsid w:val="00A40EA3"/>
    <w:rsid w:val="00A43B8D"/>
    <w:rsid w:val="00A44419"/>
    <w:rsid w:val="00A5101E"/>
    <w:rsid w:val="00A55140"/>
    <w:rsid w:val="00A56D5F"/>
    <w:rsid w:val="00A60CCC"/>
    <w:rsid w:val="00A6345E"/>
    <w:rsid w:val="00A64B63"/>
    <w:rsid w:val="00A73DCA"/>
    <w:rsid w:val="00A762C3"/>
    <w:rsid w:val="00A90FAC"/>
    <w:rsid w:val="00A94141"/>
    <w:rsid w:val="00A96321"/>
    <w:rsid w:val="00AA381B"/>
    <w:rsid w:val="00AA48A0"/>
    <w:rsid w:val="00AA4B81"/>
    <w:rsid w:val="00AA5DF7"/>
    <w:rsid w:val="00AA6E51"/>
    <w:rsid w:val="00AB1B8A"/>
    <w:rsid w:val="00AB677D"/>
    <w:rsid w:val="00AC2448"/>
    <w:rsid w:val="00AD1DAE"/>
    <w:rsid w:val="00AD5CDE"/>
    <w:rsid w:val="00AE2881"/>
    <w:rsid w:val="00AE52C1"/>
    <w:rsid w:val="00AE680F"/>
    <w:rsid w:val="00AE7C52"/>
    <w:rsid w:val="00AF0E13"/>
    <w:rsid w:val="00AF17F0"/>
    <w:rsid w:val="00AF1B21"/>
    <w:rsid w:val="00B01B0E"/>
    <w:rsid w:val="00B03B63"/>
    <w:rsid w:val="00B04B01"/>
    <w:rsid w:val="00B05E97"/>
    <w:rsid w:val="00B07798"/>
    <w:rsid w:val="00B14058"/>
    <w:rsid w:val="00B23CA2"/>
    <w:rsid w:val="00B3057D"/>
    <w:rsid w:val="00B3080C"/>
    <w:rsid w:val="00B34990"/>
    <w:rsid w:val="00B35CC7"/>
    <w:rsid w:val="00B35D10"/>
    <w:rsid w:val="00B36696"/>
    <w:rsid w:val="00B4095E"/>
    <w:rsid w:val="00B43312"/>
    <w:rsid w:val="00B446DF"/>
    <w:rsid w:val="00B463A5"/>
    <w:rsid w:val="00B47041"/>
    <w:rsid w:val="00B5109B"/>
    <w:rsid w:val="00B5199E"/>
    <w:rsid w:val="00B545E7"/>
    <w:rsid w:val="00B55A0F"/>
    <w:rsid w:val="00B5792C"/>
    <w:rsid w:val="00B60961"/>
    <w:rsid w:val="00B62B62"/>
    <w:rsid w:val="00B64ECF"/>
    <w:rsid w:val="00B6506A"/>
    <w:rsid w:val="00B657AF"/>
    <w:rsid w:val="00B7120F"/>
    <w:rsid w:val="00B80033"/>
    <w:rsid w:val="00B80242"/>
    <w:rsid w:val="00B81D0C"/>
    <w:rsid w:val="00B8202D"/>
    <w:rsid w:val="00B8229D"/>
    <w:rsid w:val="00B84518"/>
    <w:rsid w:val="00B84C9F"/>
    <w:rsid w:val="00B8535E"/>
    <w:rsid w:val="00B85590"/>
    <w:rsid w:val="00B91CFF"/>
    <w:rsid w:val="00B928BE"/>
    <w:rsid w:val="00B92E40"/>
    <w:rsid w:val="00B94D1C"/>
    <w:rsid w:val="00BA3DE6"/>
    <w:rsid w:val="00BA49E6"/>
    <w:rsid w:val="00BB1DCE"/>
    <w:rsid w:val="00BB518D"/>
    <w:rsid w:val="00BB782E"/>
    <w:rsid w:val="00BB7B7D"/>
    <w:rsid w:val="00BC0D41"/>
    <w:rsid w:val="00BC32E7"/>
    <w:rsid w:val="00BD17F6"/>
    <w:rsid w:val="00BD19CD"/>
    <w:rsid w:val="00BD25D0"/>
    <w:rsid w:val="00BD3B1F"/>
    <w:rsid w:val="00BD494B"/>
    <w:rsid w:val="00BD5CAC"/>
    <w:rsid w:val="00BD62F5"/>
    <w:rsid w:val="00BE771C"/>
    <w:rsid w:val="00BF3AFA"/>
    <w:rsid w:val="00BF404C"/>
    <w:rsid w:val="00BF4D15"/>
    <w:rsid w:val="00BF6C17"/>
    <w:rsid w:val="00C00245"/>
    <w:rsid w:val="00C064DB"/>
    <w:rsid w:val="00C07624"/>
    <w:rsid w:val="00C10C91"/>
    <w:rsid w:val="00C171B1"/>
    <w:rsid w:val="00C30F02"/>
    <w:rsid w:val="00C33EA5"/>
    <w:rsid w:val="00C3740B"/>
    <w:rsid w:val="00C40D2D"/>
    <w:rsid w:val="00C45155"/>
    <w:rsid w:val="00C46075"/>
    <w:rsid w:val="00C474AC"/>
    <w:rsid w:val="00C50691"/>
    <w:rsid w:val="00C522C0"/>
    <w:rsid w:val="00C575F3"/>
    <w:rsid w:val="00C632A8"/>
    <w:rsid w:val="00C639C4"/>
    <w:rsid w:val="00C63D79"/>
    <w:rsid w:val="00C657D0"/>
    <w:rsid w:val="00C67035"/>
    <w:rsid w:val="00C762AF"/>
    <w:rsid w:val="00C77216"/>
    <w:rsid w:val="00C8412C"/>
    <w:rsid w:val="00C92677"/>
    <w:rsid w:val="00C94874"/>
    <w:rsid w:val="00C97873"/>
    <w:rsid w:val="00CA264D"/>
    <w:rsid w:val="00CA69BD"/>
    <w:rsid w:val="00CB1D90"/>
    <w:rsid w:val="00CC0F34"/>
    <w:rsid w:val="00CC20BD"/>
    <w:rsid w:val="00CC7902"/>
    <w:rsid w:val="00CD1C93"/>
    <w:rsid w:val="00CD41BB"/>
    <w:rsid w:val="00CD604B"/>
    <w:rsid w:val="00CD6F2D"/>
    <w:rsid w:val="00CE2E4A"/>
    <w:rsid w:val="00CE7BAD"/>
    <w:rsid w:val="00CF0CFE"/>
    <w:rsid w:val="00CF1A06"/>
    <w:rsid w:val="00CF2594"/>
    <w:rsid w:val="00CF3112"/>
    <w:rsid w:val="00CF3CFA"/>
    <w:rsid w:val="00CF467C"/>
    <w:rsid w:val="00CF5514"/>
    <w:rsid w:val="00D061EC"/>
    <w:rsid w:val="00D07221"/>
    <w:rsid w:val="00D10402"/>
    <w:rsid w:val="00D11347"/>
    <w:rsid w:val="00D13CAE"/>
    <w:rsid w:val="00D16BCB"/>
    <w:rsid w:val="00D16FF2"/>
    <w:rsid w:val="00D23FDC"/>
    <w:rsid w:val="00D2565A"/>
    <w:rsid w:val="00D265E2"/>
    <w:rsid w:val="00D26A58"/>
    <w:rsid w:val="00D33FF4"/>
    <w:rsid w:val="00D37847"/>
    <w:rsid w:val="00D42E09"/>
    <w:rsid w:val="00D5370E"/>
    <w:rsid w:val="00D53E6E"/>
    <w:rsid w:val="00D57184"/>
    <w:rsid w:val="00D61BA3"/>
    <w:rsid w:val="00D62519"/>
    <w:rsid w:val="00D6703C"/>
    <w:rsid w:val="00D67D71"/>
    <w:rsid w:val="00D72227"/>
    <w:rsid w:val="00D75CAC"/>
    <w:rsid w:val="00D828F7"/>
    <w:rsid w:val="00D82FCB"/>
    <w:rsid w:val="00D83439"/>
    <w:rsid w:val="00D850C2"/>
    <w:rsid w:val="00D86D16"/>
    <w:rsid w:val="00D90250"/>
    <w:rsid w:val="00D93C56"/>
    <w:rsid w:val="00D94740"/>
    <w:rsid w:val="00D95F71"/>
    <w:rsid w:val="00D96216"/>
    <w:rsid w:val="00DA21F3"/>
    <w:rsid w:val="00DA3279"/>
    <w:rsid w:val="00DA79DC"/>
    <w:rsid w:val="00DB0BFB"/>
    <w:rsid w:val="00DB24CC"/>
    <w:rsid w:val="00DB4ED0"/>
    <w:rsid w:val="00DB5A1C"/>
    <w:rsid w:val="00DB672D"/>
    <w:rsid w:val="00DC2AFC"/>
    <w:rsid w:val="00DD1390"/>
    <w:rsid w:val="00DD5F2A"/>
    <w:rsid w:val="00DD76F7"/>
    <w:rsid w:val="00DD788D"/>
    <w:rsid w:val="00DE1179"/>
    <w:rsid w:val="00DE1A23"/>
    <w:rsid w:val="00DF15EC"/>
    <w:rsid w:val="00DF467C"/>
    <w:rsid w:val="00DF472E"/>
    <w:rsid w:val="00E01D4A"/>
    <w:rsid w:val="00E07E82"/>
    <w:rsid w:val="00E105D3"/>
    <w:rsid w:val="00E11165"/>
    <w:rsid w:val="00E13F77"/>
    <w:rsid w:val="00E14CCD"/>
    <w:rsid w:val="00E26479"/>
    <w:rsid w:val="00E3712B"/>
    <w:rsid w:val="00E40011"/>
    <w:rsid w:val="00E4505B"/>
    <w:rsid w:val="00E466C8"/>
    <w:rsid w:val="00E47FE4"/>
    <w:rsid w:val="00E51EF3"/>
    <w:rsid w:val="00E540EB"/>
    <w:rsid w:val="00E54DAF"/>
    <w:rsid w:val="00E67CAE"/>
    <w:rsid w:val="00E67F32"/>
    <w:rsid w:val="00E719E1"/>
    <w:rsid w:val="00E75006"/>
    <w:rsid w:val="00E754C9"/>
    <w:rsid w:val="00E84A40"/>
    <w:rsid w:val="00E85DD5"/>
    <w:rsid w:val="00E86263"/>
    <w:rsid w:val="00E92842"/>
    <w:rsid w:val="00EA3AB2"/>
    <w:rsid w:val="00EA3ADE"/>
    <w:rsid w:val="00EA6A5B"/>
    <w:rsid w:val="00EB59DF"/>
    <w:rsid w:val="00EB7735"/>
    <w:rsid w:val="00EC15FF"/>
    <w:rsid w:val="00EC19F3"/>
    <w:rsid w:val="00EC1EFC"/>
    <w:rsid w:val="00EC240E"/>
    <w:rsid w:val="00EC5900"/>
    <w:rsid w:val="00ED460B"/>
    <w:rsid w:val="00ED67E7"/>
    <w:rsid w:val="00ED7B6B"/>
    <w:rsid w:val="00EE3462"/>
    <w:rsid w:val="00EE386E"/>
    <w:rsid w:val="00EE78C6"/>
    <w:rsid w:val="00EF223D"/>
    <w:rsid w:val="00EF5292"/>
    <w:rsid w:val="00EF75ED"/>
    <w:rsid w:val="00F00C93"/>
    <w:rsid w:val="00F04B1A"/>
    <w:rsid w:val="00F057AD"/>
    <w:rsid w:val="00F10205"/>
    <w:rsid w:val="00F12D94"/>
    <w:rsid w:val="00F2381D"/>
    <w:rsid w:val="00F34038"/>
    <w:rsid w:val="00F346AB"/>
    <w:rsid w:val="00F348EA"/>
    <w:rsid w:val="00F35E8F"/>
    <w:rsid w:val="00F418F6"/>
    <w:rsid w:val="00F42BD2"/>
    <w:rsid w:val="00F43583"/>
    <w:rsid w:val="00F46348"/>
    <w:rsid w:val="00F476BB"/>
    <w:rsid w:val="00F5420F"/>
    <w:rsid w:val="00F5452B"/>
    <w:rsid w:val="00F563EA"/>
    <w:rsid w:val="00F65B41"/>
    <w:rsid w:val="00F65B67"/>
    <w:rsid w:val="00F70072"/>
    <w:rsid w:val="00F71EBA"/>
    <w:rsid w:val="00F74E31"/>
    <w:rsid w:val="00F822B4"/>
    <w:rsid w:val="00F82FB1"/>
    <w:rsid w:val="00F842B1"/>
    <w:rsid w:val="00F84BDE"/>
    <w:rsid w:val="00F87EBE"/>
    <w:rsid w:val="00F92931"/>
    <w:rsid w:val="00F93CF5"/>
    <w:rsid w:val="00F971EA"/>
    <w:rsid w:val="00FA54F4"/>
    <w:rsid w:val="00FA68C4"/>
    <w:rsid w:val="00FB5BFF"/>
    <w:rsid w:val="00FB5E25"/>
    <w:rsid w:val="00FD2E95"/>
    <w:rsid w:val="00FD688C"/>
    <w:rsid w:val="00FE33E0"/>
    <w:rsid w:val="00FE34E8"/>
    <w:rsid w:val="00FE48DE"/>
    <w:rsid w:val="00FF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D7F8"/>
  <w14:defaultImageDpi w14:val="330"/>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3B"/>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76604A"/>
    <w:pPr>
      <w:keepNext/>
      <w:keepLines/>
      <w:spacing w:before="240" w:after="60" w:line="240" w:lineRule="auto"/>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6604A"/>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nhideWhenUsed/>
    <w:rsid w:val="00B01B0E"/>
    <w:rPr>
      <w:sz w:val="16"/>
      <w:szCs w:val="16"/>
    </w:rPr>
  </w:style>
  <w:style w:type="paragraph" w:styleId="CommentText">
    <w:name w:val="annotation text"/>
    <w:basedOn w:val="Normal"/>
    <w:link w:val="CommentTextChar"/>
    <w:unhideWhenUsed/>
    <w:rsid w:val="00B01B0E"/>
    <w:pPr>
      <w:spacing w:line="240" w:lineRule="auto"/>
    </w:pPr>
    <w:rPr>
      <w:sz w:val="20"/>
      <w:szCs w:val="20"/>
    </w:rPr>
  </w:style>
  <w:style w:type="character" w:customStyle="1" w:styleId="CommentTextChar">
    <w:name w:val="Comment Text Char"/>
    <w:basedOn w:val="DefaultParagraphFont"/>
    <w:link w:val="CommentText"/>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basedOn w:val="Normal"/>
    <w:link w:val="FootnoteTextChar"/>
    <w:unhideWhenUsed/>
    <w:rsid w:val="00947B25"/>
    <w:pPr>
      <w:spacing w:after="0" w:line="240" w:lineRule="auto"/>
    </w:pPr>
    <w:rPr>
      <w:sz w:val="16"/>
      <w:szCs w:val="20"/>
    </w:rPr>
  </w:style>
  <w:style w:type="character" w:customStyle="1" w:styleId="FootnoteTextChar">
    <w:name w:val="Footnote Text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customStyle="1" w:styleId="Hashtag1">
    <w:name w:val="Hashtag1"/>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customStyle="1" w:styleId="Mention1">
    <w:name w:val="Mention1"/>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customStyle="1" w:styleId="SmartHyperlink1">
    <w:name w:val="Smart Hyperlink1"/>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customStyle="1" w:styleId="UnresolvedMention1">
    <w:name w:val="Unresolved Mention1"/>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qForma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16"/>
      </w:numPr>
      <w:spacing w:before="240" w:after="120"/>
      <w:contextualSpacing w:val="0"/>
    </w:pPr>
    <w:rPr>
      <w:rFonts w:asciiTheme="majorHAnsi" w:eastAsia="Times New Roman" w:hAnsiTheme="majorHAnsi" w:cs="Arial"/>
      <w:color w:val="auto"/>
      <w:sz w:val="28"/>
      <w:szCs w:val="22"/>
      <w:lang w:val="en-GB" w:eastAsia="en-GB"/>
      <w14:cntxtAlts w14:val="0"/>
    </w:rPr>
  </w:style>
  <w:style w:type="paragraph" w:customStyle="1" w:styleId="SectionList">
    <w:name w:val="Section List"/>
    <w:basedOn w:val="Normal"/>
    <w:next w:val="Default"/>
    <w:autoRedefine/>
    <w:rsid w:val="004473A5"/>
    <w:pPr>
      <w:numPr>
        <w:ilvl w:val="1"/>
        <w:numId w:val="16"/>
      </w:numPr>
      <w:spacing w:line="240" w:lineRule="auto"/>
      <w:contextualSpacing w:val="0"/>
    </w:pPr>
    <w:rPr>
      <w:rFonts w:asciiTheme="minorHAnsi" w:eastAsia="Times New Roman" w:hAnsiTheme="minorHAnsi" w:cs="Times New Roman"/>
      <w:b/>
      <w:color w:val="auto"/>
      <w:szCs w:val="22"/>
      <w:lang w:val="en-GB" w:eastAsia="en-GB"/>
      <w14:cntxtAlts w14:val="0"/>
    </w:rPr>
  </w:style>
  <w:style w:type="paragraph" w:customStyle="1" w:styleId="SectionList2nd">
    <w:name w:val="Section List 2nd"/>
    <w:basedOn w:val="Normal"/>
    <w:rsid w:val="004473A5"/>
    <w:pPr>
      <w:numPr>
        <w:ilvl w:val="2"/>
        <w:numId w:val="1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paragraph" w:customStyle="1" w:styleId="AtxtHdgs">
    <w:name w:val="Atxt_Hdgs"/>
    <w:basedOn w:val="Normal"/>
    <w:rsid w:val="00816579"/>
    <w:pPr>
      <w:spacing w:after="0" w:line="240" w:lineRule="auto"/>
      <w:contextualSpacing w:val="0"/>
      <w:jc w:val="center"/>
    </w:pPr>
    <w:rPr>
      <w:rFonts w:ascii="Arial" w:eastAsia="Times New Roman" w:hAnsi="Arial" w:cs="Times New Roman"/>
      <w:color w:val="auto"/>
      <w:szCs w:val="20"/>
      <w:lang w:val="en-GB" w:eastAsia="de-DE"/>
      <w14:cntxtAlts w14:val="0"/>
    </w:rPr>
  </w:style>
  <w:style w:type="numbering" w:customStyle="1" w:styleId="SDMTableBoxParaList">
    <w:name w:val="SDMTable&amp;BoxParaList"/>
    <w:rsid w:val="00816579"/>
    <w:pPr>
      <w:numPr>
        <w:numId w:val="17"/>
      </w:numPr>
    </w:pPr>
  </w:style>
  <w:style w:type="numbering" w:customStyle="1" w:styleId="SDMTableBoxParaNumberedList">
    <w:name w:val="SDMTable&amp;BoxParaNumberedList"/>
    <w:rsid w:val="00816579"/>
    <w:pPr>
      <w:numPr>
        <w:numId w:val="19"/>
      </w:numPr>
    </w:pPr>
  </w:style>
  <w:style w:type="numbering" w:customStyle="1" w:styleId="SDMFootnoteList">
    <w:name w:val="SDMFootnoteList"/>
    <w:uiPriority w:val="99"/>
    <w:rsid w:val="00816579"/>
    <w:pPr>
      <w:numPr>
        <w:numId w:val="20"/>
      </w:numPr>
    </w:pPr>
  </w:style>
  <w:style w:type="paragraph" w:customStyle="1" w:styleId="RegSectionLevel1">
    <w:name w:val="RegSectionLevel1"/>
    <w:basedOn w:val="Normal"/>
    <w:rsid w:val="00816579"/>
    <w:pPr>
      <w:keepNext/>
      <w:numPr>
        <w:ilvl w:val="1"/>
        <w:numId w:val="22"/>
      </w:numPr>
      <w:spacing w:before="120" w:after="0" w:line="240" w:lineRule="auto"/>
      <w:contextualSpacing w:val="0"/>
      <w:jc w:val="both"/>
      <w:outlineLvl w:val="0"/>
    </w:pPr>
    <w:rPr>
      <w:rFonts w:ascii="Avenir Book" w:eastAsia="MS Mincho" w:hAnsi="Avenir Book" w:cs="Times New Roman"/>
      <w:b/>
      <w:color w:val="auto"/>
      <w:szCs w:val="20"/>
      <w:lang w:val="en-GB"/>
      <w14:cntxtAlts w14:val="0"/>
    </w:rPr>
  </w:style>
  <w:style w:type="numbering" w:customStyle="1" w:styleId="SDMPDDPoASectionList">
    <w:name w:val="SDMPDD&amp;PoASectionList"/>
    <w:uiPriority w:val="99"/>
    <w:rsid w:val="00816579"/>
    <w:pPr>
      <w:numPr>
        <w:numId w:val="21"/>
      </w:numPr>
    </w:pPr>
  </w:style>
  <w:style w:type="numbering" w:customStyle="1" w:styleId="SDMTableBoxFigureFootnoteFullPageList">
    <w:name w:val="SDMTableBoxFigureFootnoteFullPageList"/>
    <w:uiPriority w:val="99"/>
    <w:rsid w:val="00E51EF3"/>
    <w:pPr>
      <w:numPr>
        <w:numId w:val="23"/>
      </w:numPr>
    </w:pPr>
  </w:style>
  <w:style w:type="paragraph" w:styleId="Revision">
    <w:name w:val="Revision"/>
    <w:hidden/>
    <w:uiPriority w:val="99"/>
    <w:semiHidden/>
    <w:rsid w:val="0056373F"/>
    <w:pPr>
      <w:spacing w:after="0" w:line="240" w:lineRule="auto"/>
    </w:pPr>
    <w:rPr>
      <w:rFonts w:ascii="Verdana" w:hAnsi="Verdana" w:cs="Times New Roman (Body CS)"/>
      <w:color w:val="4D4D4C"/>
      <w:sz w:val="22"/>
      <w14:cntxtAlts/>
    </w:rPr>
  </w:style>
  <w:style w:type="paragraph" w:customStyle="1" w:styleId="SDMTableBoxParaNotNumbered">
    <w:name w:val="SDMTable&amp;BoxParaNotNumbered"/>
    <w:basedOn w:val="Normal"/>
    <w:qFormat/>
    <w:rsid w:val="003F407B"/>
    <w:pPr>
      <w:spacing w:after="0" w:line="240" w:lineRule="auto"/>
      <w:contextualSpacing w:val="0"/>
    </w:pPr>
    <w:rPr>
      <w:rFonts w:ascii="Arial" w:eastAsia="Times New Roman" w:hAnsi="Arial" w:cs="Times New Roman"/>
      <w:color w:val="auto"/>
      <w:sz w:val="20"/>
      <w:szCs w:val="20"/>
      <w:lang w:val="en-GB" w:eastAsia="de-DE"/>
      <w14:cntxtAlts w14:val="0"/>
    </w:rPr>
  </w:style>
  <w:style w:type="paragraph" w:customStyle="1" w:styleId="SDMPDDPoASubSection1">
    <w:name w:val="SDMPDD&amp;PoASubSection1"/>
    <w:basedOn w:val="Normal"/>
    <w:qFormat/>
    <w:rsid w:val="003F407B"/>
    <w:pPr>
      <w:keepNext/>
      <w:keepLines/>
      <w:tabs>
        <w:tab w:val="left" w:pos="1474"/>
      </w:tabs>
      <w:suppressAutoHyphens/>
      <w:spacing w:before="240" w:after="60" w:line="240" w:lineRule="auto"/>
      <w:contextualSpacing w:val="0"/>
      <w:jc w:val="both"/>
      <w:outlineLvl w:val="1"/>
    </w:pPr>
    <w:rPr>
      <w:rFonts w:ascii="Arial" w:eastAsia="MS Mincho" w:hAnsi="Arial" w:cs="Arial"/>
      <w:b/>
      <w:color w:val="auto"/>
      <w:lang w:val="en-GB" w:eastAsia="de-DE"/>
      <w14:cntxtAlts w14:val="0"/>
    </w:rPr>
  </w:style>
  <w:style w:type="paragraph" w:customStyle="1" w:styleId="SDMTableBoxParaNumbered">
    <w:name w:val="SDMTable&amp;BoxParaNumbered"/>
    <w:basedOn w:val="Normal"/>
    <w:qFormat/>
    <w:rsid w:val="00D2565A"/>
    <w:pPr>
      <w:tabs>
        <w:tab w:val="num" w:pos="0"/>
      </w:tabs>
      <w:spacing w:after="0" w:line="240" w:lineRule="auto"/>
      <w:contextualSpacing w:val="0"/>
    </w:pPr>
    <w:rPr>
      <w:rFonts w:ascii="Arial" w:eastAsia="Times New Roman" w:hAnsi="Arial" w:cs="Times New Roman"/>
      <w:color w:val="auto"/>
      <w:sz w:val="20"/>
      <w:szCs w:val="20"/>
      <w:lang w:val="en-GB" w:eastAsia="de-DE"/>
      <w14:cntxtAlts w14:val="0"/>
    </w:rPr>
  </w:style>
  <w:style w:type="paragraph" w:customStyle="1" w:styleId="SDMApp1">
    <w:name w:val="SDMApp1"/>
    <w:basedOn w:val="Normal"/>
    <w:qFormat/>
    <w:rsid w:val="00D2565A"/>
    <w:pPr>
      <w:keepNext/>
      <w:keepLines/>
      <w:suppressAutoHyphens/>
      <w:spacing w:before="240" w:after="60" w:line="240" w:lineRule="auto"/>
      <w:ind w:left="2126" w:hanging="2126"/>
      <w:contextualSpacing w:val="0"/>
      <w:jc w:val="both"/>
    </w:pPr>
    <w:rPr>
      <w:rFonts w:ascii="Arial" w:eastAsia="Times New Roman" w:hAnsi="Arial" w:cs="Arial"/>
      <w:b/>
      <w:color w:val="auto"/>
      <w:sz w:val="24"/>
      <w:lang w:val="en-GB" w:eastAsia="de-D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15898148">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26240663">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m.unfccc.int/methodologies/DB/WHTQUFLWCVNB9CIUZC198A712WGQR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globalgoals.goldstandard.org/standards/TGuide-PreReview_V1.1-Monitoring-Report.pdf" TargetMode="External"/><Relationship Id="rId17" Type="http://schemas.openxmlformats.org/officeDocument/2006/relationships/hyperlink" Target="https://globalgoals.goldstandard.org/standards/TGuide-PerfCert_V1.1-Monitoring-Repor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TGuide-PerfCert_V1.1-Monitoring-Report.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image" Target="media/image5.emf"/><Relationship Id="rId1" Type="http://schemas.openxmlformats.org/officeDocument/2006/relationships/image" Target="media/image8.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6.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7.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CFE82-D50D-42B2-9517-3169D79359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33DBE9-9C05-477A-BC53-B71834F66699}">
  <ds:schemaRefs>
    <ds:schemaRef ds:uri="http://schemas.microsoft.com/sharepoint/v3/contenttype/forms"/>
  </ds:schemaRefs>
</ds:datastoreItem>
</file>

<file path=customXml/itemProps3.xml><?xml version="1.0" encoding="utf-8"?>
<ds:datastoreItem xmlns:ds="http://schemas.openxmlformats.org/officeDocument/2006/customXml" ds:itemID="{A91AA74F-FF19-4A5A-BB6E-67E60DB3E48C}">
  <ds:schemaRefs>
    <ds:schemaRef ds:uri="http://schemas.openxmlformats.org/officeDocument/2006/bibliography"/>
  </ds:schemaRefs>
</ds:datastoreItem>
</file>

<file path=customXml/itemProps4.xml><?xml version="1.0" encoding="utf-8"?>
<ds:datastoreItem xmlns:ds="http://schemas.openxmlformats.org/officeDocument/2006/customXml" ds:itemID="{F01B6220-DF22-4061-AEFD-798384F6D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6927</Words>
  <Characters>39485</Characters>
  <Application>Microsoft Office Word</Application>
  <DocSecurity>0</DocSecurity>
  <Lines>329</Lines>
  <Paragraphs>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Monitoring Report</vt:lpstr>
      <vt:lpstr>TEMPLATE- Monitoring Report</vt:lpstr>
    </vt:vector>
  </TitlesOfParts>
  <Manager/>
  <Company/>
  <LinksUpToDate>false</LinksUpToDate>
  <CharactersWithSpaces>46320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Monitoring Report</dc:title>
  <dc:subject/>
  <dc:creator>Gold Standard</dc:creator>
  <cp:keywords/>
  <dc:description/>
  <cp:lastModifiedBy>Shifali Guleria</cp:lastModifiedBy>
  <cp:revision>10</cp:revision>
  <cp:lastPrinted>2017-11-02T02:38:00Z</cp:lastPrinted>
  <dcterms:created xsi:type="dcterms:W3CDTF">2021-10-11T14:04:00Z</dcterms:created>
  <dcterms:modified xsi:type="dcterms:W3CDTF">2021-11-23T10:22:00Z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